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C648BA" w:rsidRDefault="00BB4EF3" w:rsidP="00D15E11">
      <w:pPr>
        <w:pStyle w:val="a5"/>
        <w:tabs>
          <w:tab w:val="right" w:pos="9639"/>
        </w:tabs>
        <w:rPr>
          <w:rFonts w:asciiTheme="minorHAnsi" w:eastAsia="新細明體" w:hAnsiTheme="minorHAnsi"/>
          <w:noProof w:val="0"/>
          <w:color w:val="000000" w:themeColor="text1"/>
          <w:sz w:val="24"/>
          <w:szCs w:val="24"/>
          <w:lang w:val="en-GB" w:eastAsia="zh-TW"/>
        </w:rPr>
      </w:pPr>
      <w:r w:rsidRPr="00561972">
        <w:rPr>
          <w:rFonts w:ascii="Calibri" w:hAnsi="Calibri"/>
          <w:bCs/>
          <w:noProof w:val="0"/>
          <w:sz w:val="24"/>
          <w:szCs w:val="24"/>
          <w:lang w:val="en-GB"/>
        </w:rPr>
        <w:t>3GPP T</w:t>
      </w:r>
      <w:bookmarkStart w:id="0" w:name="_Ref452454252"/>
      <w:bookmarkEnd w:id="0"/>
      <w:r w:rsidRPr="00561972">
        <w:rPr>
          <w:rFonts w:ascii="Calibri" w:hAnsi="Calibri"/>
          <w:bCs/>
          <w:noProof w:val="0"/>
          <w:sz w:val="24"/>
          <w:szCs w:val="24"/>
          <w:lang w:val="en-GB"/>
        </w:rPr>
        <w:t xml:space="preserve">SG-RAN </w:t>
      </w:r>
      <w:r w:rsidRPr="00561972">
        <w:rPr>
          <w:rFonts w:ascii="Calibri" w:hAnsi="Calibri"/>
          <w:noProof w:val="0"/>
          <w:sz w:val="24"/>
          <w:szCs w:val="24"/>
          <w:lang w:val="en-GB"/>
        </w:rPr>
        <w:t>WG4 NR AH Meeting #</w:t>
      </w:r>
      <w:r>
        <w:rPr>
          <w:rFonts w:ascii="Calibri" w:eastAsia="新細明體" w:hAnsi="Calibri"/>
          <w:noProof w:val="0"/>
          <w:sz w:val="24"/>
          <w:szCs w:val="24"/>
          <w:lang w:val="en-GB" w:eastAsia="zh-TW"/>
        </w:rPr>
        <w:t>3</w:t>
      </w:r>
      <w:r w:rsidR="00D15E11" w:rsidRPr="00C648BA">
        <w:rPr>
          <w:rFonts w:asciiTheme="minorHAnsi" w:hAnsiTheme="minorHAnsi"/>
          <w:bCs/>
          <w:noProof w:val="0"/>
          <w:color w:val="000000" w:themeColor="text1"/>
          <w:sz w:val="24"/>
          <w:lang w:val="en-GB"/>
        </w:rPr>
        <w:tab/>
      </w:r>
      <w:r w:rsidR="00182E66" w:rsidRPr="00C648BA">
        <w:rPr>
          <w:rFonts w:asciiTheme="minorHAnsi" w:hAnsiTheme="minorHAnsi"/>
          <w:noProof w:val="0"/>
          <w:color w:val="000000" w:themeColor="text1"/>
          <w:sz w:val="24"/>
          <w:szCs w:val="24"/>
          <w:lang w:val="en-GB"/>
        </w:rPr>
        <w:t>R4-1</w:t>
      </w:r>
      <w:r w:rsidR="00F44191" w:rsidRPr="00C648BA">
        <w:rPr>
          <w:rFonts w:asciiTheme="minorHAnsi" w:hAnsiTheme="minorHAnsi"/>
          <w:noProof w:val="0"/>
          <w:color w:val="000000" w:themeColor="text1"/>
          <w:sz w:val="24"/>
          <w:szCs w:val="24"/>
          <w:lang w:val="en-GB"/>
        </w:rPr>
        <w:t>7</w:t>
      </w:r>
      <w:r w:rsidR="008452E1">
        <w:rPr>
          <w:rFonts w:asciiTheme="minorHAnsi" w:hAnsiTheme="minorHAnsi"/>
          <w:noProof w:val="0"/>
          <w:color w:val="000000" w:themeColor="text1"/>
          <w:sz w:val="24"/>
          <w:szCs w:val="24"/>
          <w:lang w:val="en-GB"/>
        </w:rPr>
        <w:t>09339</w:t>
      </w:r>
    </w:p>
    <w:p w:rsidR="00D60379" w:rsidRPr="00C648BA" w:rsidRDefault="00D60379" w:rsidP="00D60379">
      <w:pPr>
        <w:pStyle w:val="a5"/>
        <w:rPr>
          <w:rFonts w:asciiTheme="minorHAnsi" w:eastAsia="新細明體" w:hAnsiTheme="minorHAnsi"/>
          <w:color w:val="000000" w:themeColor="text1"/>
          <w:sz w:val="24"/>
          <w:lang w:eastAsia="zh-TW"/>
        </w:rPr>
      </w:pPr>
      <w:r>
        <w:rPr>
          <w:rFonts w:asciiTheme="minorHAnsi" w:eastAsia="新細明體" w:hAnsiTheme="minorHAnsi"/>
          <w:color w:val="000000" w:themeColor="text1"/>
          <w:sz w:val="24"/>
          <w:lang w:eastAsia="zh-TW"/>
        </w:rPr>
        <w:t>Nagoya</w:t>
      </w:r>
      <w:r w:rsidRPr="00C648BA">
        <w:rPr>
          <w:rFonts w:asciiTheme="minorHAnsi" w:eastAsia="新細明體" w:hAnsiTheme="minorHAnsi"/>
          <w:color w:val="000000" w:themeColor="text1"/>
          <w:sz w:val="24"/>
          <w:lang w:eastAsia="zh-TW"/>
        </w:rPr>
        <w:t xml:space="preserve">, </w:t>
      </w:r>
      <w:r>
        <w:rPr>
          <w:rFonts w:asciiTheme="minorHAnsi" w:eastAsia="新細明體" w:hAnsiTheme="minorHAnsi"/>
          <w:color w:val="000000" w:themeColor="text1"/>
          <w:sz w:val="24"/>
          <w:lang w:eastAsia="zh-TW"/>
        </w:rPr>
        <w:t>Japan</w:t>
      </w:r>
      <w:r w:rsidRPr="00C648BA">
        <w:rPr>
          <w:rFonts w:asciiTheme="minorHAnsi" w:hAnsiTheme="minorHAnsi"/>
          <w:color w:val="000000" w:themeColor="text1"/>
          <w:sz w:val="24"/>
          <w:lang w:eastAsia="zh-CN"/>
        </w:rPr>
        <w:t xml:space="preserve">, </w:t>
      </w:r>
      <w:r>
        <w:rPr>
          <w:rFonts w:asciiTheme="minorHAnsi" w:hAnsiTheme="minorHAnsi"/>
          <w:color w:val="000000" w:themeColor="text1"/>
          <w:sz w:val="24"/>
          <w:lang w:eastAsia="zh-CN"/>
        </w:rPr>
        <w:t>18</w:t>
      </w:r>
      <w:r w:rsidRPr="00F34FC7">
        <w:rPr>
          <w:rFonts w:asciiTheme="minorHAnsi" w:hAnsiTheme="minorHAnsi"/>
          <w:color w:val="000000" w:themeColor="text1"/>
          <w:sz w:val="24"/>
          <w:vertAlign w:val="superscript"/>
          <w:lang w:eastAsia="zh-CN"/>
        </w:rPr>
        <w:t>th</w:t>
      </w:r>
      <w:r w:rsidRPr="00C648BA">
        <w:rPr>
          <w:rFonts w:asciiTheme="minorHAnsi" w:hAnsiTheme="minorHAnsi"/>
          <w:color w:val="000000" w:themeColor="text1"/>
          <w:sz w:val="24"/>
          <w:lang w:eastAsia="zh-CN"/>
        </w:rPr>
        <w:t xml:space="preserve"> </w:t>
      </w:r>
      <w:r>
        <w:rPr>
          <w:rFonts w:asciiTheme="minorHAnsi" w:eastAsia="新細明體" w:hAnsiTheme="minorHAnsi"/>
          <w:color w:val="000000" w:themeColor="text1"/>
          <w:sz w:val="24"/>
          <w:lang w:eastAsia="zh-TW"/>
        </w:rPr>
        <w:t>–</w:t>
      </w:r>
      <w:r w:rsidRPr="00C648BA">
        <w:rPr>
          <w:rFonts w:asciiTheme="minorHAnsi" w:eastAsia="新細明體" w:hAnsiTheme="minorHAnsi"/>
          <w:color w:val="000000" w:themeColor="text1"/>
          <w:sz w:val="24"/>
          <w:lang w:eastAsia="zh-TW"/>
        </w:rPr>
        <w:t xml:space="preserve"> 2</w:t>
      </w:r>
      <w:r>
        <w:rPr>
          <w:rFonts w:asciiTheme="minorHAnsi" w:eastAsia="新細明體" w:hAnsiTheme="minorHAnsi"/>
          <w:color w:val="000000" w:themeColor="text1"/>
          <w:sz w:val="24"/>
          <w:lang w:eastAsia="zh-TW"/>
        </w:rPr>
        <w:t>1</w:t>
      </w:r>
      <w:r w:rsidRPr="00F34FC7">
        <w:rPr>
          <w:rFonts w:asciiTheme="minorHAnsi" w:eastAsia="新細明體" w:hAnsiTheme="minorHAnsi"/>
          <w:color w:val="000000" w:themeColor="text1"/>
          <w:sz w:val="24"/>
          <w:vertAlign w:val="superscript"/>
          <w:lang w:eastAsia="zh-TW"/>
        </w:rPr>
        <w:t>st</w:t>
      </w:r>
      <w:r w:rsidRPr="00C648BA">
        <w:rPr>
          <w:rFonts w:asciiTheme="minorHAnsi" w:eastAsia="新細明體" w:hAnsiTheme="minorHAnsi"/>
          <w:color w:val="000000" w:themeColor="text1"/>
          <w:sz w:val="24"/>
          <w:lang w:eastAsia="zh-TW"/>
        </w:rPr>
        <w:t xml:space="preserve"> </w:t>
      </w:r>
      <w:r>
        <w:rPr>
          <w:rFonts w:asciiTheme="minorHAnsi" w:eastAsia="新細明體" w:hAnsiTheme="minorHAnsi"/>
          <w:color w:val="000000" w:themeColor="text1"/>
          <w:sz w:val="24"/>
          <w:lang w:eastAsia="zh-TW"/>
        </w:rPr>
        <w:t>September</w:t>
      </w:r>
      <w:r w:rsidRPr="00C648BA">
        <w:rPr>
          <w:rFonts w:asciiTheme="minorHAnsi" w:eastAsia="新細明體" w:hAnsiTheme="minorHAnsi"/>
          <w:color w:val="000000" w:themeColor="text1"/>
          <w:sz w:val="24"/>
          <w:lang w:eastAsia="zh-TW"/>
        </w:rPr>
        <w:t xml:space="preserve"> </w:t>
      </w:r>
      <w:r w:rsidRPr="00C648BA">
        <w:rPr>
          <w:rFonts w:asciiTheme="minorHAnsi" w:hAnsiTheme="minorHAnsi"/>
          <w:color w:val="000000" w:themeColor="text1"/>
          <w:sz w:val="24"/>
          <w:lang w:eastAsia="zh-CN"/>
        </w:rPr>
        <w:t>201</w:t>
      </w:r>
      <w:r w:rsidRPr="00C648BA">
        <w:rPr>
          <w:rFonts w:asciiTheme="minorHAnsi" w:eastAsia="新細明體" w:hAnsiTheme="minorHAnsi"/>
          <w:color w:val="000000" w:themeColor="text1"/>
          <w:sz w:val="24"/>
          <w:lang w:eastAsia="zh-TW"/>
        </w:rPr>
        <w:t>7</w:t>
      </w:r>
    </w:p>
    <w:p w:rsidR="00D15E11" w:rsidRPr="00C648BA" w:rsidRDefault="00D15E11" w:rsidP="00D15E11">
      <w:pPr>
        <w:pStyle w:val="a5"/>
        <w:rPr>
          <w:rFonts w:asciiTheme="minorHAnsi" w:hAnsiTheme="minorHAnsi"/>
          <w:bCs/>
          <w:noProof w:val="0"/>
          <w:color w:val="000000" w:themeColor="text1"/>
          <w:sz w:val="24"/>
          <w:lang w:eastAsia="ja-JP"/>
        </w:rPr>
      </w:pPr>
    </w:p>
    <w:p w:rsidR="00D15E11" w:rsidRPr="00C648BA" w:rsidRDefault="00D15E11" w:rsidP="00D15E11">
      <w:pPr>
        <w:pStyle w:val="CRCoverPage"/>
        <w:rPr>
          <w:rFonts w:asciiTheme="minorHAnsi" w:eastAsia="新細明體" w:hAnsiTheme="minorHAnsi" w:cs="Arial"/>
          <w:b/>
          <w:bCs/>
          <w:color w:val="000000" w:themeColor="text1"/>
          <w:sz w:val="24"/>
          <w:lang w:eastAsia="zh-TW"/>
        </w:rPr>
      </w:pPr>
      <w:r w:rsidRPr="00C648BA">
        <w:rPr>
          <w:rFonts w:asciiTheme="minorHAnsi" w:hAnsiTheme="minorHAnsi" w:cs="Arial"/>
          <w:b/>
          <w:bCs/>
          <w:color w:val="000000" w:themeColor="text1"/>
          <w:sz w:val="24"/>
        </w:rPr>
        <w:t>Agenda item:</w:t>
      </w:r>
      <w:r w:rsidRPr="00C648BA">
        <w:rPr>
          <w:rFonts w:asciiTheme="minorHAnsi" w:hAnsiTheme="minorHAnsi" w:cs="Arial"/>
          <w:b/>
          <w:bCs/>
          <w:color w:val="000000" w:themeColor="text1"/>
          <w:sz w:val="24"/>
        </w:rPr>
        <w:tab/>
      </w:r>
      <w:r w:rsidRPr="00C648BA">
        <w:rPr>
          <w:rFonts w:asciiTheme="minorHAnsi" w:hAnsiTheme="minorHAnsi" w:cs="Arial"/>
          <w:b/>
          <w:bCs/>
          <w:color w:val="000000" w:themeColor="text1"/>
          <w:sz w:val="24"/>
        </w:rPr>
        <w:tab/>
      </w:r>
      <w:r w:rsidRPr="00C648BA">
        <w:rPr>
          <w:rFonts w:asciiTheme="minorHAnsi" w:hAnsiTheme="minorHAnsi" w:cs="Arial"/>
          <w:b/>
          <w:bCs/>
          <w:color w:val="000000" w:themeColor="text1"/>
          <w:sz w:val="24"/>
        </w:rPr>
        <w:tab/>
      </w:r>
      <w:r w:rsidR="0046410F">
        <w:rPr>
          <w:rFonts w:asciiTheme="minorHAnsi" w:hAnsiTheme="minorHAnsi" w:cs="Arial"/>
          <w:b/>
          <w:bCs/>
          <w:color w:val="000000" w:themeColor="text1"/>
          <w:sz w:val="24"/>
        </w:rPr>
        <w:t>4</w:t>
      </w:r>
    </w:p>
    <w:p w:rsidR="00D15E11" w:rsidRPr="00C648BA" w:rsidRDefault="00D15E11" w:rsidP="00D15E11">
      <w:pPr>
        <w:tabs>
          <w:tab w:val="left" w:pos="1985"/>
        </w:tabs>
        <w:ind w:left="1985" w:hanging="1985"/>
        <w:rPr>
          <w:rFonts w:cs="Arial"/>
          <w:b/>
          <w:bCs/>
          <w:color w:val="000000" w:themeColor="text1"/>
        </w:rPr>
      </w:pPr>
      <w:r w:rsidRPr="00C648BA">
        <w:rPr>
          <w:rFonts w:cs="Arial"/>
          <w:b/>
          <w:bCs/>
          <w:color w:val="000000" w:themeColor="text1"/>
        </w:rPr>
        <w:t>Source:</w:t>
      </w:r>
      <w:r w:rsidRPr="00C648BA">
        <w:rPr>
          <w:rFonts w:cs="Arial"/>
          <w:b/>
          <w:bCs/>
          <w:color w:val="000000" w:themeColor="text1"/>
        </w:rPr>
        <w:tab/>
        <w:t xml:space="preserve">MediaTek Inc. </w:t>
      </w:r>
    </w:p>
    <w:p w:rsidR="0034111C" w:rsidRPr="00C648BA" w:rsidRDefault="0034111C" w:rsidP="00A93FE5">
      <w:pPr>
        <w:ind w:left="1985" w:hanging="1985"/>
        <w:rPr>
          <w:rFonts w:cs="Arial"/>
          <w:b/>
          <w:bCs/>
          <w:color w:val="000000" w:themeColor="text1"/>
        </w:rPr>
      </w:pPr>
      <w:r w:rsidRPr="00C648BA">
        <w:rPr>
          <w:rFonts w:cs="Arial"/>
          <w:b/>
          <w:bCs/>
          <w:color w:val="000000" w:themeColor="text1"/>
        </w:rPr>
        <w:t>Title:</w:t>
      </w:r>
      <w:r w:rsidRPr="00C648BA">
        <w:rPr>
          <w:rFonts w:cs="Arial"/>
          <w:b/>
          <w:bCs/>
          <w:color w:val="000000" w:themeColor="text1"/>
        </w:rPr>
        <w:tab/>
      </w:r>
      <w:r w:rsidR="00970D7A">
        <w:rPr>
          <w:rFonts w:cs="Arial"/>
          <w:b/>
          <w:bCs/>
          <w:color w:val="000000" w:themeColor="text1"/>
        </w:rPr>
        <w:t xml:space="preserve">Discussion on RAN2 LS for </w:t>
      </w:r>
      <w:r w:rsidR="00970D7A" w:rsidRPr="00970D7A">
        <w:rPr>
          <w:rFonts w:cs="Arial"/>
          <w:b/>
          <w:bCs/>
          <w:color w:val="000000" w:themeColor="text1"/>
        </w:rPr>
        <w:t>on UE categories and capabilities</w:t>
      </w:r>
    </w:p>
    <w:p w:rsidR="0034111C" w:rsidRPr="00C648BA" w:rsidRDefault="0034111C">
      <w:pPr>
        <w:rPr>
          <w:rFonts w:cs="Arial"/>
          <w:b/>
          <w:bCs/>
          <w:color w:val="000000" w:themeColor="text1"/>
        </w:rPr>
      </w:pPr>
      <w:r w:rsidRPr="00C648BA">
        <w:rPr>
          <w:rFonts w:cs="Arial"/>
          <w:b/>
          <w:bCs/>
          <w:color w:val="000000" w:themeColor="text1"/>
        </w:rPr>
        <w:t>Document for:</w:t>
      </w:r>
      <w:r w:rsidRPr="00C648BA">
        <w:rPr>
          <w:rFonts w:cs="Arial"/>
          <w:b/>
          <w:bCs/>
          <w:color w:val="000000" w:themeColor="text1"/>
        </w:rPr>
        <w:tab/>
      </w:r>
      <w:r w:rsidRPr="00C648BA">
        <w:rPr>
          <w:rFonts w:cs="Arial"/>
          <w:b/>
          <w:bCs/>
          <w:color w:val="000000" w:themeColor="text1"/>
        </w:rPr>
        <w:tab/>
      </w:r>
      <w:r w:rsidR="00970D7A">
        <w:rPr>
          <w:rFonts w:cs="Arial"/>
          <w:b/>
          <w:bCs/>
          <w:color w:val="000000" w:themeColor="text1"/>
        </w:rPr>
        <w:tab/>
      </w:r>
      <w:r w:rsidR="00BC79E7" w:rsidRPr="00C648BA">
        <w:rPr>
          <w:rFonts w:cs="Arial"/>
          <w:b/>
          <w:bCs/>
          <w:color w:val="000000" w:themeColor="text1"/>
        </w:rPr>
        <w:t>Discussion</w:t>
      </w:r>
      <w:r w:rsidR="000A341C" w:rsidRPr="00C648BA">
        <w:rPr>
          <w:rFonts w:cs="Arial"/>
          <w:b/>
          <w:bCs/>
          <w:color w:val="000000" w:themeColor="text1"/>
        </w:rPr>
        <w:t xml:space="preserve"> </w:t>
      </w:r>
    </w:p>
    <w:p w:rsidR="0034111C" w:rsidRPr="00C648BA" w:rsidRDefault="0034111C">
      <w:pPr>
        <w:pStyle w:val="1"/>
        <w:rPr>
          <w:rFonts w:asciiTheme="minorHAnsi" w:eastAsia="新細明體" w:hAnsiTheme="minorHAnsi"/>
          <w:color w:val="000000" w:themeColor="text1"/>
          <w:lang w:eastAsia="zh-TW"/>
        </w:rPr>
      </w:pPr>
      <w:r w:rsidRPr="00C648BA">
        <w:rPr>
          <w:rFonts w:asciiTheme="minorHAnsi" w:hAnsiTheme="minorHAnsi"/>
          <w:color w:val="000000" w:themeColor="text1"/>
        </w:rPr>
        <w:t>1</w:t>
      </w:r>
      <w:r w:rsidRPr="00C648BA">
        <w:rPr>
          <w:rFonts w:asciiTheme="minorHAnsi" w:hAnsiTheme="minorHAnsi"/>
          <w:color w:val="000000" w:themeColor="text1"/>
        </w:rPr>
        <w:tab/>
      </w:r>
      <w:r w:rsidR="00EE7FA7" w:rsidRPr="00C648BA">
        <w:rPr>
          <w:rFonts w:asciiTheme="minorHAnsi" w:hAnsiTheme="minorHAnsi"/>
          <w:color w:val="000000" w:themeColor="text1"/>
        </w:rPr>
        <w:t>Introduction</w:t>
      </w:r>
      <w:r w:rsidR="0001174A" w:rsidRPr="00C648BA">
        <w:rPr>
          <w:rFonts w:asciiTheme="minorHAnsi" w:eastAsia="新細明體" w:hAnsiTheme="minorHAnsi"/>
          <w:color w:val="000000" w:themeColor="text1"/>
          <w:lang w:eastAsia="zh-TW"/>
        </w:rPr>
        <w:t xml:space="preserve"> </w:t>
      </w:r>
    </w:p>
    <w:p w:rsidR="00C05EFD" w:rsidRPr="00C648BA" w:rsidRDefault="00C05EFD" w:rsidP="005D4010">
      <w:pPr>
        <w:jc w:val="both"/>
        <w:rPr>
          <w:color w:val="000000" w:themeColor="text1"/>
        </w:rPr>
      </w:pPr>
      <w:bookmarkStart w:id="1" w:name="OLE_LINK1"/>
      <w:bookmarkStart w:id="2" w:name="OLE_LINK2"/>
      <w:bookmarkStart w:id="3" w:name="OLE_LINK132"/>
      <w:bookmarkStart w:id="4" w:name="OLE_LINK133"/>
      <w:r w:rsidRPr="00C648BA">
        <w:rPr>
          <w:color w:val="000000" w:themeColor="text1"/>
        </w:rPr>
        <w:t xml:space="preserve">In last </w:t>
      </w:r>
      <w:r w:rsidR="00970D7A">
        <w:rPr>
          <w:color w:val="000000" w:themeColor="text1"/>
        </w:rPr>
        <w:t xml:space="preserve">RAN2 </w:t>
      </w:r>
      <w:r w:rsidRPr="00C648BA">
        <w:rPr>
          <w:color w:val="000000" w:themeColor="text1"/>
        </w:rPr>
        <w:t xml:space="preserve">meeting, </w:t>
      </w:r>
      <w:r w:rsidR="00970D7A">
        <w:rPr>
          <w:color w:val="000000" w:themeColor="text1"/>
        </w:rPr>
        <w:t xml:space="preserve">an LS </w:t>
      </w:r>
      <w:r w:rsidR="008258ED">
        <w:rPr>
          <w:color w:val="000000" w:themeColor="text1"/>
        </w:rPr>
        <w:t xml:space="preserve">[1] </w:t>
      </w:r>
      <w:r w:rsidR="00970D7A">
        <w:rPr>
          <w:color w:val="000000" w:themeColor="text1"/>
        </w:rPr>
        <w:t>was sent to both RAN1 and RAN4</w:t>
      </w:r>
      <w:r w:rsidR="008258ED">
        <w:rPr>
          <w:color w:val="000000" w:themeColor="text1"/>
        </w:rPr>
        <w:t xml:space="preserve"> on UE category and capabilities.</w:t>
      </w:r>
      <w:r w:rsidR="00EE42A9">
        <w:rPr>
          <w:color w:val="000000" w:themeColor="text1"/>
        </w:rPr>
        <w:t xml:space="preserve"> RAN2 asks 3 questions as captured below:</w:t>
      </w:r>
      <w:r w:rsidRPr="00C648BA">
        <w:rPr>
          <w:color w:val="000000" w:themeColor="text1"/>
        </w:rPr>
        <w:t xml:space="preserve"> </w:t>
      </w:r>
    </w:p>
    <w:tbl>
      <w:tblPr>
        <w:tblStyle w:val="af6"/>
        <w:tblW w:w="0" w:type="auto"/>
        <w:tblLook w:val="04A0" w:firstRow="1" w:lastRow="0" w:firstColumn="1" w:lastColumn="0" w:noHBand="0" w:noVBand="1"/>
      </w:tblPr>
      <w:tblGrid>
        <w:gridCol w:w="9629"/>
      </w:tblGrid>
      <w:tr w:rsidR="00C05EFD" w:rsidRPr="00C648BA" w:rsidTr="00C05EFD">
        <w:tc>
          <w:tcPr>
            <w:tcW w:w="9629" w:type="dxa"/>
          </w:tcPr>
          <w:p w:rsidR="00EE42A9" w:rsidRPr="00EE42A9" w:rsidRDefault="00EE42A9" w:rsidP="00EE42A9">
            <w:pPr>
              <w:pStyle w:val="a5"/>
              <w:jc w:val="both"/>
              <w:rPr>
                <w:rFonts w:cs="Arial"/>
              </w:rPr>
            </w:pPr>
            <w:r w:rsidRPr="00EE42A9">
              <w:rPr>
                <w:rFonts w:cs="Arial"/>
              </w:rPr>
              <w:t>Q1: Do RAN1 and RAN4 agree that a peak data rate per-cell, per-cell-group and per-UE can be calculated based on the signalled band combinations and baseband capabilities and that an explicit UE category (for NR and NR-NR DC and MR-DC) is not needed if the UE supports a peak data rate at least equal to the calculated data rate?</w:t>
            </w:r>
          </w:p>
          <w:p w:rsidR="00EE42A9" w:rsidRPr="00EE42A9" w:rsidRDefault="00EE42A9" w:rsidP="00EE42A9">
            <w:pPr>
              <w:pStyle w:val="a5"/>
              <w:jc w:val="both"/>
              <w:rPr>
                <w:rFonts w:cs="Arial"/>
              </w:rPr>
            </w:pPr>
          </w:p>
          <w:p w:rsidR="00EE42A9" w:rsidRPr="00EE42A9" w:rsidRDefault="00EE42A9" w:rsidP="00EE42A9">
            <w:pPr>
              <w:pStyle w:val="a5"/>
              <w:jc w:val="both"/>
              <w:rPr>
                <w:rFonts w:cs="Arial"/>
              </w:rPr>
            </w:pPr>
            <w:r w:rsidRPr="00EE42A9">
              <w:rPr>
                <w:rFonts w:cs="Arial"/>
              </w:rPr>
              <w:t xml:space="preserve">Q2: Do RAN1 and RAN4 agree with the suggested handling of UE categories described above? </w:t>
            </w:r>
          </w:p>
          <w:p w:rsidR="00EE42A9" w:rsidRPr="00EE42A9" w:rsidRDefault="00EE42A9" w:rsidP="00EE42A9">
            <w:pPr>
              <w:pStyle w:val="a5"/>
              <w:jc w:val="both"/>
              <w:rPr>
                <w:rFonts w:cs="Arial"/>
              </w:rPr>
            </w:pPr>
          </w:p>
          <w:p w:rsidR="00C05EFD" w:rsidRPr="00EE42A9" w:rsidRDefault="00EE42A9" w:rsidP="00EE42A9">
            <w:pPr>
              <w:pStyle w:val="a5"/>
              <w:jc w:val="both"/>
              <w:rPr>
                <w:rFonts w:cs="Arial"/>
                <w:b w:val="0"/>
              </w:rPr>
            </w:pPr>
            <w:r w:rsidRPr="00EE42A9">
              <w:rPr>
                <w:rFonts w:cs="Arial"/>
              </w:rPr>
              <w:t>Q3: How does RAN1 intend to define the UE category (if needed) in a numerology-agnostic manner?</w:t>
            </w:r>
          </w:p>
        </w:tc>
      </w:tr>
    </w:tbl>
    <w:p w:rsidR="002A4089" w:rsidRPr="00C648BA" w:rsidRDefault="00EE42A9" w:rsidP="00BB4EF3">
      <w:pPr>
        <w:jc w:val="both"/>
        <w:rPr>
          <w:lang w:eastAsia="en-GB"/>
        </w:rPr>
      </w:pPr>
      <w:r>
        <w:rPr>
          <w:color w:val="000000" w:themeColor="text1"/>
        </w:rPr>
        <w:t>In this paper, we provide our view</w:t>
      </w:r>
      <w:r w:rsidR="00D33962">
        <w:rPr>
          <w:color w:val="000000" w:themeColor="text1"/>
        </w:rPr>
        <w:t>s</w:t>
      </w:r>
      <w:r>
        <w:rPr>
          <w:color w:val="000000" w:themeColor="text1"/>
        </w:rPr>
        <w:t xml:space="preserve"> on this issue and how RAN4 should reply the LS.</w:t>
      </w:r>
    </w:p>
    <w:p w:rsidR="000F7F8F" w:rsidRPr="00C648BA" w:rsidRDefault="002A4089" w:rsidP="000F7F8F">
      <w:pPr>
        <w:pStyle w:val="1"/>
        <w:rPr>
          <w:rFonts w:asciiTheme="minorHAnsi" w:hAnsiTheme="minorHAnsi"/>
          <w:color w:val="000000" w:themeColor="text1"/>
        </w:rPr>
      </w:pPr>
      <w:r w:rsidRPr="00C648BA">
        <w:rPr>
          <w:rFonts w:asciiTheme="minorHAnsi" w:hAnsiTheme="minorHAnsi"/>
          <w:color w:val="000000" w:themeColor="text1"/>
        </w:rPr>
        <w:t>2</w:t>
      </w:r>
      <w:r w:rsidR="000F7F8F" w:rsidRPr="00C648BA">
        <w:rPr>
          <w:rFonts w:asciiTheme="minorHAnsi" w:hAnsiTheme="minorHAnsi"/>
          <w:color w:val="000000" w:themeColor="text1"/>
        </w:rPr>
        <w:tab/>
      </w:r>
      <w:r w:rsidR="008258ED">
        <w:rPr>
          <w:rFonts w:asciiTheme="minorHAnsi" w:hAnsiTheme="minorHAnsi"/>
          <w:color w:val="000000" w:themeColor="text1"/>
        </w:rPr>
        <w:t xml:space="preserve">Discussion </w:t>
      </w:r>
    </w:p>
    <w:bookmarkEnd w:id="1"/>
    <w:bookmarkEnd w:id="2"/>
    <w:bookmarkEnd w:id="3"/>
    <w:bookmarkEnd w:id="4"/>
    <w:p w:rsidR="00EE42A9" w:rsidRPr="00037FB6" w:rsidRDefault="00EE42A9" w:rsidP="00EE42A9">
      <w:pPr>
        <w:pStyle w:val="a5"/>
        <w:jc w:val="both"/>
        <w:rPr>
          <w:rFonts w:cs="Arial"/>
          <w:i/>
          <w:u w:val="single"/>
        </w:rPr>
      </w:pPr>
      <w:r w:rsidRPr="00037FB6">
        <w:rPr>
          <w:rFonts w:cs="Arial"/>
          <w:i/>
          <w:u w:val="single"/>
        </w:rPr>
        <w:t>Q1: Do RAN1 and RAN4 agree that a peak data rate per-cell, per-cell-group and per-UE can be calculated based on the signalled band combinations and baseband capabilities and that an explicit UE category (for NR and NR-NR DC and MR-DC) is not needed if the UE supports a peak data rate at least equal to the calculated data rate?</w:t>
      </w:r>
    </w:p>
    <w:p w:rsidR="008269D9" w:rsidRPr="00EE42A9" w:rsidRDefault="00EE42A9" w:rsidP="00543601">
      <w:pPr>
        <w:pStyle w:val="af2"/>
        <w:ind w:left="1134" w:hanging="1134"/>
        <w:jc w:val="both"/>
        <w:rPr>
          <w:rFonts w:asciiTheme="minorHAnsi" w:eastAsia="新細明體" w:hAnsiTheme="minorHAnsi"/>
          <w:b w:val="0"/>
          <w:color w:val="000000" w:themeColor="text1"/>
          <w:sz w:val="22"/>
          <w:szCs w:val="22"/>
        </w:rPr>
      </w:pPr>
      <w:r>
        <w:rPr>
          <w:rFonts w:asciiTheme="minorHAnsi" w:eastAsia="新細明體" w:hAnsiTheme="minorHAnsi"/>
          <w:b w:val="0"/>
          <w:color w:val="000000" w:themeColor="text1"/>
          <w:sz w:val="22"/>
          <w:szCs w:val="22"/>
        </w:rPr>
        <w:t xml:space="preserve">Discussion: To our understanding, band combination (BC) will provide </w:t>
      </w:r>
      <w:r w:rsidR="003C341A">
        <w:rPr>
          <w:rFonts w:asciiTheme="minorHAnsi" w:eastAsia="新細明體" w:hAnsiTheme="minorHAnsi"/>
          <w:b w:val="0"/>
          <w:color w:val="000000" w:themeColor="text1"/>
          <w:sz w:val="22"/>
          <w:szCs w:val="22"/>
        </w:rPr>
        <w:t>the</w:t>
      </w:r>
      <w:r>
        <w:rPr>
          <w:rFonts w:asciiTheme="minorHAnsi" w:eastAsia="新細明體" w:hAnsiTheme="minorHAnsi"/>
          <w:b w:val="0"/>
          <w:color w:val="000000" w:themeColor="text1"/>
          <w:sz w:val="22"/>
          <w:szCs w:val="22"/>
        </w:rPr>
        <w:t xml:space="preserve"> information about the number of CCs </w:t>
      </w:r>
      <w:r w:rsidR="003C341A">
        <w:rPr>
          <w:rFonts w:asciiTheme="minorHAnsi" w:eastAsia="新細明體" w:hAnsiTheme="minorHAnsi"/>
          <w:b w:val="0"/>
          <w:color w:val="000000" w:themeColor="text1"/>
          <w:sz w:val="22"/>
          <w:szCs w:val="22"/>
        </w:rPr>
        <w:t>as well as</w:t>
      </w:r>
      <w:r>
        <w:rPr>
          <w:rFonts w:asciiTheme="minorHAnsi" w:eastAsia="新細明體" w:hAnsiTheme="minorHAnsi"/>
          <w:b w:val="0"/>
          <w:color w:val="000000" w:themeColor="text1"/>
          <w:sz w:val="22"/>
          <w:szCs w:val="22"/>
        </w:rPr>
        <w:t xml:space="preserve"> the bandwidth (BW) of each CC. This </w:t>
      </w:r>
      <w:r w:rsidR="003C341A">
        <w:rPr>
          <w:rFonts w:asciiTheme="minorHAnsi" w:eastAsia="新細明體" w:hAnsiTheme="minorHAnsi"/>
          <w:b w:val="0"/>
          <w:color w:val="000000" w:themeColor="text1"/>
          <w:sz w:val="22"/>
          <w:szCs w:val="22"/>
        </w:rPr>
        <w:t>BW information is</w:t>
      </w:r>
      <w:r>
        <w:rPr>
          <w:rFonts w:asciiTheme="minorHAnsi" w:eastAsia="新細明體" w:hAnsiTheme="minorHAnsi"/>
          <w:b w:val="0"/>
          <w:color w:val="000000" w:themeColor="text1"/>
          <w:sz w:val="22"/>
          <w:szCs w:val="22"/>
        </w:rPr>
        <w:t xml:space="preserve"> specified in TS 36.101 and TS 38.101 for LTE and NR, respectively. However, from UE side, UE will also claim a maximum </w:t>
      </w:r>
      <w:r w:rsidR="003C341A">
        <w:rPr>
          <w:rFonts w:asciiTheme="minorHAnsi" w:eastAsia="新細明體" w:hAnsiTheme="minorHAnsi"/>
          <w:b w:val="0"/>
          <w:color w:val="000000" w:themeColor="text1"/>
          <w:sz w:val="22"/>
          <w:szCs w:val="22"/>
        </w:rPr>
        <w:t>supported BW (BW</w:t>
      </w:r>
      <w:r w:rsidR="003C341A">
        <w:rPr>
          <w:rFonts w:asciiTheme="minorHAnsi" w:eastAsia="新細明體" w:hAnsiTheme="minorHAnsi"/>
          <w:b w:val="0"/>
          <w:color w:val="000000" w:themeColor="text1"/>
          <w:sz w:val="22"/>
          <w:szCs w:val="22"/>
          <w:vertAlign w:val="subscript"/>
        </w:rPr>
        <w:t>max,UE</w:t>
      </w:r>
      <w:r w:rsidR="003C341A">
        <w:rPr>
          <w:rFonts w:asciiTheme="minorHAnsi" w:eastAsia="新細明體" w:hAnsiTheme="minorHAnsi"/>
          <w:b w:val="0"/>
          <w:color w:val="000000" w:themeColor="text1"/>
          <w:sz w:val="22"/>
          <w:szCs w:val="22"/>
        </w:rPr>
        <w:t>) for each band. This max BW in general will not be the same as the BW specified in BC. Furthermore, the BW</w:t>
      </w:r>
      <w:r w:rsidR="003C341A">
        <w:rPr>
          <w:rFonts w:asciiTheme="minorHAnsi" w:eastAsia="新細明體" w:hAnsiTheme="minorHAnsi"/>
          <w:b w:val="0"/>
          <w:color w:val="000000" w:themeColor="text1"/>
          <w:sz w:val="22"/>
          <w:szCs w:val="22"/>
          <w:vertAlign w:val="subscript"/>
        </w:rPr>
        <w:t>max,UE</w:t>
      </w:r>
      <w:r w:rsidR="003C341A">
        <w:rPr>
          <w:rFonts w:asciiTheme="minorHAnsi" w:eastAsia="新細明體" w:hAnsiTheme="minorHAnsi"/>
          <w:b w:val="0"/>
          <w:color w:val="000000" w:themeColor="text1"/>
          <w:sz w:val="22"/>
          <w:szCs w:val="22"/>
        </w:rPr>
        <w:t xml:space="preserve"> will </w:t>
      </w:r>
      <w:r w:rsidR="00353C81" w:rsidRPr="00433FE0">
        <w:rPr>
          <w:rFonts w:asciiTheme="minorHAnsi" w:eastAsia="新細明體" w:hAnsiTheme="minorHAnsi"/>
          <w:b w:val="0"/>
          <w:color w:val="000000" w:themeColor="text1"/>
          <w:sz w:val="22"/>
          <w:szCs w:val="22"/>
        </w:rPr>
        <w:t xml:space="preserve">be </w:t>
      </w:r>
      <w:r w:rsidR="003C341A" w:rsidRPr="00433FE0">
        <w:rPr>
          <w:rFonts w:asciiTheme="minorHAnsi" w:eastAsia="新細明體" w:hAnsiTheme="minorHAnsi"/>
          <w:b w:val="0"/>
          <w:color w:val="000000" w:themeColor="text1"/>
          <w:sz w:val="22"/>
          <w:szCs w:val="22"/>
        </w:rPr>
        <w:t xml:space="preserve">reported in the unit of </w:t>
      </w:r>
      <w:r w:rsidR="00353C81" w:rsidRPr="00433FE0">
        <w:rPr>
          <w:rFonts w:asciiTheme="minorHAnsi" w:eastAsia="新細明體" w:hAnsiTheme="minorHAnsi"/>
          <w:b w:val="0"/>
          <w:color w:val="000000" w:themeColor="text1"/>
          <w:sz w:val="22"/>
          <w:szCs w:val="22"/>
        </w:rPr>
        <w:t>M</w:t>
      </w:r>
      <w:r w:rsidR="003C341A" w:rsidRPr="00433FE0">
        <w:rPr>
          <w:rFonts w:asciiTheme="minorHAnsi" w:eastAsia="新細明體" w:hAnsiTheme="minorHAnsi"/>
          <w:b w:val="0"/>
          <w:color w:val="000000" w:themeColor="text1"/>
          <w:sz w:val="22"/>
          <w:szCs w:val="22"/>
        </w:rPr>
        <w:t>Hz.</w:t>
      </w:r>
      <w:r w:rsidR="003C341A">
        <w:rPr>
          <w:rFonts w:asciiTheme="minorHAnsi" w:eastAsia="新細明體" w:hAnsiTheme="minorHAnsi"/>
          <w:b w:val="0"/>
          <w:color w:val="000000" w:themeColor="text1"/>
          <w:sz w:val="22"/>
          <w:szCs w:val="22"/>
        </w:rPr>
        <w:t xml:space="preserve"> Under different </w:t>
      </w:r>
      <w:r w:rsidR="00433FE0">
        <w:rPr>
          <w:rFonts w:asciiTheme="minorHAnsi" w:eastAsia="新細明體" w:hAnsiTheme="minorHAnsi"/>
          <w:b w:val="0"/>
          <w:color w:val="000000" w:themeColor="text1"/>
          <w:sz w:val="22"/>
          <w:szCs w:val="22"/>
        </w:rPr>
        <w:t>sub-carrier spacing (SCS)</w:t>
      </w:r>
      <w:r w:rsidR="003C341A">
        <w:rPr>
          <w:rFonts w:asciiTheme="minorHAnsi" w:eastAsia="新細明體" w:hAnsiTheme="minorHAnsi"/>
          <w:b w:val="0"/>
          <w:color w:val="000000" w:themeColor="text1"/>
          <w:sz w:val="22"/>
          <w:szCs w:val="22"/>
        </w:rPr>
        <w:t xml:space="preserve">, the max number of PRBs that UE can handle in this band is also different. </w:t>
      </w:r>
    </w:p>
    <w:p w:rsidR="00EE42A9" w:rsidRPr="006A68E0" w:rsidRDefault="00543601" w:rsidP="0059108E">
      <w:pPr>
        <w:pStyle w:val="af2"/>
        <w:jc w:val="both"/>
        <w:rPr>
          <w:rFonts w:asciiTheme="minorHAnsi" w:eastAsia="新細明體" w:hAnsiTheme="minorHAnsi"/>
          <w:i/>
          <w:color w:val="000000" w:themeColor="text1"/>
          <w:sz w:val="22"/>
          <w:szCs w:val="22"/>
        </w:rPr>
      </w:pPr>
      <w:bookmarkStart w:id="5" w:name="_Ref492807516"/>
      <w:r w:rsidRPr="006A68E0">
        <w:rPr>
          <w:rFonts w:asciiTheme="minorHAnsi" w:eastAsia="新細明體" w:hAnsiTheme="minorHAnsi"/>
          <w:i/>
          <w:color w:val="000000" w:themeColor="text1"/>
          <w:sz w:val="22"/>
          <w:szCs w:val="22"/>
        </w:rPr>
        <w:t xml:space="preserve">Observation </w:t>
      </w:r>
      <w:r w:rsidR="008452E1" w:rsidRPr="006A68E0">
        <w:rPr>
          <w:rFonts w:asciiTheme="minorHAnsi" w:eastAsia="新細明體" w:hAnsiTheme="minorHAnsi"/>
          <w:i/>
          <w:color w:val="000000" w:themeColor="text1"/>
          <w:sz w:val="22"/>
          <w:szCs w:val="22"/>
        </w:rPr>
        <w:fldChar w:fldCharType="begin"/>
      </w:r>
      <w:r w:rsidR="008452E1" w:rsidRPr="006A68E0">
        <w:rPr>
          <w:rFonts w:asciiTheme="minorHAnsi" w:eastAsia="新細明體" w:hAnsiTheme="minorHAnsi"/>
          <w:i/>
          <w:color w:val="000000" w:themeColor="text1"/>
          <w:sz w:val="22"/>
          <w:szCs w:val="22"/>
        </w:rPr>
        <w:instrText xml:space="preserve"> SEQ Observation \* ARABIC </w:instrText>
      </w:r>
      <w:r w:rsidR="008452E1" w:rsidRPr="006A68E0">
        <w:rPr>
          <w:rFonts w:asciiTheme="minorHAnsi" w:eastAsia="新細明體" w:hAnsiTheme="minorHAnsi"/>
          <w:i/>
          <w:color w:val="000000" w:themeColor="text1"/>
          <w:sz w:val="22"/>
          <w:szCs w:val="22"/>
        </w:rPr>
        <w:fldChar w:fldCharType="separate"/>
      </w:r>
      <w:r w:rsidRPr="006A68E0">
        <w:rPr>
          <w:rFonts w:asciiTheme="minorHAnsi" w:eastAsia="新細明體" w:hAnsiTheme="minorHAnsi"/>
          <w:i/>
          <w:color w:val="000000" w:themeColor="text1"/>
          <w:sz w:val="22"/>
          <w:szCs w:val="22"/>
        </w:rPr>
        <w:t>1</w:t>
      </w:r>
      <w:r w:rsidR="008452E1" w:rsidRPr="006A68E0">
        <w:rPr>
          <w:rFonts w:asciiTheme="minorHAnsi" w:eastAsia="新細明體" w:hAnsiTheme="minorHAnsi"/>
          <w:i/>
          <w:color w:val="000000" w:themeColor="text1"/>
          <w:sz w:val="22"/>
          <w:szCs w:val="22"/>
        </w:rPr>
        <w:fldChar w:fldCharType="end"/>
      </w:r>
      <w:r w:rsidRPr="006A68E0">
        <w:rPr>
          <w:rFonts w:asciiTheme="minorHAnsi" w:eastAsia="新細明體" w:hAnsiTheme="minorHAnsi"/>
          <w:i/>
          <w:color w:val="000000" w:themeColor="text1"/>
          <w:sz w:val="22"/>
          <w:szCs w:val="22"/>
        </w:rPr>
        <w:t>: Information in bandwidth combination is insufficient to determine the maximum number of PRBs that UE can handle in individual band</w:t>
      </w:r>
      <w:r w:rsidR="0059108E" w:rsidRPr="006A68E0">
        <w:rPr>
          <w:rFonts w:asciiTheme="minorHAnsi" w:eastAsia="新細明體" w:hAnsiTheme="minorHAnsi"/>
          <w:i/>
          <w:color w:val="000000" w:themeColor="text1"/>
          <w:sz w:val="22"/>
          <w:szCs w:val="22"/>
        </w:rPr>
        <w:t>. Network needs at least some additional information such as the maximum supported bandwidth in that band and the SCS.</w:t>
      </w:r>
      <w:bookmarkEnd w:id="5"/>
    </w:p>
    <w:p w:rsidR="00EE42A9" w:rsidRDefault="00543601" w:rsidP="00543601">
      <w:pPr>
        <w:ind w:left="1134"/>
        <w:jc w:val="both"/>
      </w:pPr>
      <w:r>
        <w:lastRenderedPageBreak/>
        <w:t xml:space="preserve">Additionally, the </w:t>
      </w:r>
      <w:r w:rsidRPr="006A68E0">
        <w:t>maximum MIMO layers can be supported in different bands should also be different. In some low-frequency band</w:t>
      </w:r>
      <w:r w:rsidR="00353C81" w:rsidRPr="006A68E0">
        <w:t>s</w:t>
      </w:r>
      <w:r w:rsidRPr="006A68E0">
        <w:t>, due to the limitation of font</w:t>
      </w:r>
      <w:r w:rsidR="00353C81" w:rsidRPr="006A68E0">
        <w:t>-end</w:t>
      </w:r>
      <w:r w:rsidRPr="006A68E0">
        <w:t xml:space="preserve"> </w:t>
      </w:r>
      <w:r w:rsidR="00353C81" w:rsidRPr="006A68E0">
        <w:t xml:space="preserve">component </w:t>
      </w:r>
      <w:r w:rsidRPr="006A68E0">
        <w:t>and antenna size, it is challenging for UE to support higher layer MIMO (e.g., 4 or 8 layers). This per-band information of maximum MIMO layer (Layer</w:t>
      </w:r>
      <w:r w:rsidRPr="006A68E0">
        <w:rPr>
          <w:vertAlign w:val="subscript"/>
        </w:rPr>
        <w:t>max,UE</w:t>
      </w:r>
      <w:r w:rsidRPr="006A68E0">
        <w:t>) is also important for network to determine UE’s maximum data rate in a band.</w:t>
      </w:r>
    </w:p>
    <w:p w:rsidR="00543601" w:rsidRPr="006A68E0" w:rsidRDefault="00543601" w:rsidP="006A68E0">
      <w:pPr>
        <w:pStyle w:val="af2"/>
        <w:jc w:val="both"/>
        <w:rPr>
          <w:rFonts w:asciiTheme="minorHAnsi" w:eastAsia="新細明體" w:hAnsiTheme="minorHAnsi"/>
          <w:i/>
          <w:color w:val="000000" w:themeColor="text1"/>
          <w:sz w:val="22"/>
          <w:szCs w:val="22"/>
        </w:rPr>
      </w:pPr>
      <w:bookmarkStart w:id="6" w:name="_Ref492807517"/>
      <w:r w:rsidRPr="006A68E0">
        <w:rPr>
          <w:rFonts w:asciiTheme="minorHAnsi" w:eastAsia="新細明體" w:hAnsiTheme="minorHAnsi"/>
          <w:i/>
          <w:color w:val="000000" w:themeColor="text1"/>
          <w:sz w:val="22"/>
          <w:szCs w:val="22"/>
        </w:rPr>
        <w:t xml:space="preserve">Observation </w:t>
      </w:r>
      <w:r w:rsidR="008452E1" w:rsidRPr="006A68E0">
        <w:rPr>
          <w:rFonts w:asciiTheme="minorHAnsi" w:eastAsia="新細明體" w:hAnsiTheme="minorHAnsi"/>
          <w:i/>
          <w:color w:val="000000" w:themeColor="text1"/>
          <w:sz w:val="22"/>
          <w:szCs w:val="22"/>
        </w:rPr>
        <w:fldChar w:fldCharType="begin"/>
      </w:r>
      <w:r w:rsidR="008452E1" w:rsidRPr="006A68E0">
        <w:rPr>
          <w:rFonts w:asciiTheme="minorHAnsi" w:eastAsia="新細明體" w:hAnsiTheme="minorHAnsi"/>
          <w:i/>
          <w:color w:val="000000" w:themeColor="text1"/>
          <w:sz w:val="22"/>
          <w:szCs w:val="22"/>
        </w:rPr>
        <w:instrText xml:space="preserve"> SEQ Observation \* ARABIC </w:instrText>
      </w:r>
      <w:r w:rsidR="008452E1" w:rsidRPr="006A68E0">
        <w:rPr>
          <w:rFonts w:asciiTheme="minorHAnsi" w:eastAsia="新細明體" w:hAnsiTheme="minorHAnsi"/>
          <w:i/>
          <w:color w:val="000000" w:themeColor="text1"/>
          <w:sz w:val="22"/>
          <w:szCs w:val="22"/>
        </w:rPr>
        <w:fldChar w:fldCharType="separate"/>
      </w:r>
      <w:r w:rsidR="0059108E" w:rsidRPr="006A68E0">
        <w:rPr>
          <w:rFonts w:asciiTheme="minorHAnsi" w:eastAsia="新細明體" w:hAnsiTheme="minorHAnsi"/>
          <w:i/>
          <w:color w:val="000000" w:themeColor="text1"/>
          <w:sz w:val="22"/>
          <w:szCs w:val="22"/>
        </w:rPr>
        <w:t>2</w:t>
      </w:r>
      <w:r w:rsidR="008452E1" w:rsidRPr="006A68E0">
        <w:rPr>
          <w:rFonts w:asciiTheme="minorHAnsi" w:eastAsia="新細明體" w:hAnsiTheme="minorHAnsi"/>
          <w:i/>
          <w:color w:val="000000" w:themeColor="text1"/>
          <w:sz w:val="22"/>
          <w:szCs w:val="22"/>
        </w:rPr>
        <w:fldChar w:fldCharType="end"/>
      </w:r>
      <w:r w:rsidRPr="006A68E0">
        <w:rPr>
          <w:rFonts w:asciiTheme="minorHAnsi" w:eastAsia="新細明體" w:hAnsiTheme="minorHAnsi"/>
          <w:i/>
          <w:color w:val="000000" w:themeColor="text1"/>
          <w:sz w:val="22"/>
          <w:szCs w:val="22"/>
        </w:rPr>
        <w:t>: The information of maximum supported MIMO layer per band is also an important parameter for network to determine UE’s maximum data rate in a band.</w:t>
      </w:r>
      <w:bookmarkEnd w:id="6"/>
    </w:p>
    <w:p w:rsidR="00543601" w:rsidRDefault="0059108E" w:rsidP="00543601">
      <w:pPr>
        <w:ind w:left="1134"/>
        <w:jc w:val="both"/>
      </w:pPr>
      <w:r>
        <w:t xml:space="preserve">Regarding the baseband (BB) capabilities, </w:t>
      </w:r>
      <w:r w:rsidR="00353C81" w:rsidRPr="006A68E0">
        <w:t>the</w:t>
      </w:r>
      <w:r w:rsidR="00353C81">
        <w:t xml:space="preserve"> </w:t>
      </w:r>
      <w:r>
        <w:t xml:space="preserve">current reporting structure is still under discussing in RAN4. </w:t>
      </w:r>
      <w:r w:rsidR="00972D70" w:rsidRPr="006A68E0">
        <w:t xml:space="preserve">One possible outcome would be that the peak data </w:t>
      </w:r>
      <w:r w:rsidR="00353C81" w:rsidRPr="006A68E0">
        <w:t xml:space="preserve">rate </w:t>
      </w:r>
      <w:r w:rsidR="00972D70" w:rsidRPr="006A68E0">
        <w:t xml:space="preserve">per-UE </w:t>
      </w:r>
      <w:r w:rsidR="00353C81" w:rsidRPr="006A68E0">
        <w:t xml:space="preserve">is </w:t>
      </w:r>
      <w:r w:rsidR="00972D70" w:rsidRPr="006A68E0">
        <w:t>reported via UE category,</w:t>
      </w:r>
      <w:r w:rsidR="00972D70">
        <w:t xml:space="preserve"> </w:t>
      </w:r>
      <w:r w:rsidR="00972D70" w:rsidRPr="006A68E0">
        <w:t>while the detail</w:t>
      </w:r>
      <w:r w:rsidR="00353C81" w:rsidRPr="006A68E0">
        <w:t>ed</w:t>
      </w:r>
      <w:r w:rsidR="00972D70" w:rsidRPr="006A68E0">
        <w:t xml:space="preserve"> peak data </w:t>
      </w:r>
      <w:r w:rsidR="00353C81" w:rsidRPr="006A68E0">
        <w:t xml:space="preserve">rate </w:t>
      </w:r>
      <w:r w:rsidR="00972D70" w:rsidRPr="006A68E0">
        <w:t>per-CC can be provided through BB capabilities</w:t>
      </w:r>
      <w:r w:rsidR="00972D70">
        <w:t xml:space="preserve">. </w:t>
      </w:r>
      <w:r w:rsidR="00972D70" w:rsidRPr="006A68E0">
        <w:t xml:space="preserve">Another possibility is </w:t>
      </w:r>
      <w:r w:rsidR="00037FB6" w:rsidRPr="006A68E0">
        <w:t>that the</w:t>
      </w:r>
      <w:r w:rsidR="00972D70" w:rsidRPr="006A68E0">
        <w:t xml:space="preserve"> peak data </w:t>
      </w:r>
      <w:r w:rsidR="00353C81" w:rsidRPr="006A68E0">
        <w:t xml:space="preserve">rate </w:t>
      </w:r>
      <w:r w:rsidR="00972D70" w:rsidRPr="006A68E0">
        <w:t xml:space="preserve">per-CC </w:t>
      </w:r>
      <w:r w:rsidR="00037FB6" w:rsidRPr="006A68E0">
        <w:t xml:space="preserve">is provided </w:t>
      </w:r>
      <w:r w:rsidR="00972D70" w:rsidRPr="006A68E0">
        <w:t>in BB capabilities</w:t>
      </w:r>
      <w:r w:rsidR="00037FB6" w:rsidRPr="006A68E0">
        <w:t xml:space="preserve"> by which network can calculate the peak data</w:t>
      </w:r>
      <w:r w:rsidR="00BF5D84" w:rsidRPr="006A68E0">
        <w:t xml:space="preserve"> rate</w:t>
      </w:r>
      <w:r w:rsidR="00037FB6" w:rsidRPr="006A68E0">
        <w:t xml:space="preserve"> per-UE</w:t>
      </w:r>
      <w:r w:rsidR="00037FB6">
        <w:t xml:space="preserve">. </w:t>
      </w:r>
      <w:r w:rsidR="00037FB6" w:rsidRPr="006A68E0">
        <w:t>In general, it is beneficial to provide explicit information on per-UE peak data</w:t>
      </w:r>
      <w:r w:rsidR="00BF5D84" w:rsidRPr="006A68E0">
        <w:t xml:space="preserve"> rate</w:t>
      </w:r>
      <w:r w:rsidR="00037FB6" w:rsidRPr="006A68E0">
        <w:t>, such</w:t>
      </w:r>
      <w:r w:rsidR="00BF5D84" w:rsidRPr="006A68E0">
        <w:t xml:space="preserve"> that network can always double-</w:t>
      </w:r>
      <w:r w:rsidR="00037FB6" w:rsidRPr="006A68E0">
        <w:t xml:space="preserve">check the current allocation of MIMO layers and PRB number among all CCs </w:t>
      </w:r>
      <w:r w:rsidR="00BF5D84" w:rsidRPr="006A68E0">
        <w:t xml:space="preserve">which </w:t>
      </w:r>
      <w:r w:rsidR="00037FB6" w:rsidRPr="006A68E0">
        <w:t xml:space="preserve">could never exceed UE’s maximum capability. </w:t>
      </w:r>
      <w:r w:rsidRPr="006A68E0">
        <w:t xml:space="preserve">In our opinion, </w:t>
      </w:r>
      <w:r w:rsidR="00972D70" w:rsidRPr="006A68E0">
        <w:t xml:space="preserve">it is still possible that </w:t>
      </w:r>
      <w:r w:rsidRPr="006A68E0">
        <w:t xml:space="preserve">the peak data </w:t>
      </w:r>
      <w:r w:rsidR="00BF5D84" w:rsidRPr="006A68E0">
        <w:t xml:space="preserve">rate </w:t>
      </w:r>
      <w:r w:rsidRPr="006A68E0">
        <w:t>per-UE could be provided as one of the information in BB capabilities</w:t>
      </w:r>
      <w:r w:rsidR="00972D70" w:rsidRPr="006A68E0">
        <w:t xml:space="preserve"> or explicitly in UE category</w:t>
      </w:r>
      <w:r w:rsidRPr="006A68E0">
        <w:t>.</w:t>
      </w:r>
      <w:r>
        <w:t xml:space="preserve"> </w:t>
      </w:r>
    </w:p>
    <w:p w:rsidR="00972D70" w:rsidRPr="006A68E0" w:rsidRDefault="00972D70" w:rsidP="00972D70">
      <w:pPr>
        <w:pStyle w:val="af2"/>
        <w:jc w:val="both"/>
        <w:rPr>
          <w:rFonts w:asciiTheme="minorHAnsi" w:eastAsia="新細明體" w:hAnsiTheme="minorHAnsi"/>
          <w:i/>
          <w:color w:val="000000" w:themeColor="text1"/>
          <w:sz w:val="22"/>
          <w:szCs w:val="22"/>
        </w:rPr>
      </w:pPr>
      <w:bookmarkStart w:id="7" w:name="_Ref492807518"/>
      <w:r w:rsidRPr="006A68E0">
        <w:rPr>
          <w:rFonts w:asciiTheme="minorHAnsi" w:eastAsia="新細明體" w:hAnsiTheme="minorHAnsi"/>
          <w:i/>
          <w:color w:val="000000" w:themeColor="text1"/>
          <w:sz w:val="22"/>
          <w:szCs w:val="22"/>
        </w:rPr>
        <w:t xml:space="preserve">Observation </w:t>
      </w:r>
      <w:r w:rsidR="008452E1" w:rsidRPr="006A68E0">
        <w:rPr>
          <w:rFonts w:asciiTheme="minorHAnsi" w:eastAsia="新細明體" w:hAnsiTheme="minorHAnsi"/>
          <w:i/>
          <w:color w:val="000000" w:themeColor="text1"/>
          <w:sz w:val="22"/>
          <w:szCs w:val="22"/>
        </w:rPr>
        <w:fldChar w:fldCharType="begin"/>
      </w:r>
      <w:r w:rsidR="008452E1" w:rsidRPr="006A68E0">
        <w:rPr>
          <w:rFonts w:asciiTheme="minorHAnsi" w:eastAsia="新細明體" w:hAnsiTheme="minorHAnsi"/>
          <w:i/>
          <w:color w:val="000000" w:themeColor="text1"/>
          <w:sz w:val="22"/>
          <w:szCs w:val="22"/>
        </w:rPr>
        <w:instrText xml:space="preserve"> SEQ Observation \* ARABIC </w:instrText>
      </w:r>
      <w:r w:rsidR="008452E1" w:rsidRPr="006A68E0">
        <w:rPr>
          <w:rFonts w:asciiTheme="minorHAnsi" w:eastAsia="新細明體" w:hAnsiTheme="minorHAnsi"/>
          <w:i/>
          <w:color w:val="000000" w:themeColor="text1"/>
          <w:sz w:val="22"/>
          <w:szCs w:val="22"/>
        </w:rPr>
        <w:fldChar w:fldCharType="separate"/>
      </w:r>
      <w:r w:rsidRPr="006A68E0">
        <w:rPr>
          <w:rFonts w:asciiTheme="minorHAnsi" w:eastAsia="新細明體" w:hAnsiTheme="minorHAnsi"/>
          <w:i/>
          <w:color w:val="000000" w:themeColor="text1"/>
          <w:sz w:val="22"/>
          <w:szCs w:val="22"/>
        </w:rPr>
        <w:t>3</w:t>
      </w:r>
      <w:r w:rsidR="008452E1" w:rsidRPr="006A68E0">
        <w:rPr>
          <w:rFonts w:asciiTheme="minorHAnsi" w:eastAsia="新細明體" w:hAnsiTheme="minorHAnsi"/>
          <w:i/>
          <w:color w:val="000000" w:themeColor="text1"/>
          <w:sz w:val="22"/>
          <w:szCs w:val="22"/>
        </w:rPr>
        <w:fldChar w:fldCharType="end"/>
      </w:r>
      <w:r w:rsidRPr="006A68E0">
        <w:rPr>
          <w:rFonts w:asciiTheme="minorHAnsi" w:eastAsia="新細明體" w:hAnsiTheme="minorHAnsi"/>
          <w:i/>
          <w:color w:val="000000" w:themeColor="text1"/>
          <w:sz w:val="22"/>
          <w:szCs w:val="22"/>
        </w:rPr>
        <w:t xml:space="preserve">: The structure of baseband capability is not clear at this moment. Explicitly UE category with peak data </w:t>
      </w:r>
      <w:r w:rsidR="00BF5D84" w:rsidRPr="006A68E0">
        <w:rPr>
          <w:rFonts w:asciiTheme="minorHAnsi" w:eastAsia="新細明體" w:hAnsiTheme="minorHAnsi"/>
          <w:i/>
          <w:color w:val="000000" w:themeColor="text1"/>
          <w:sz w:val="22"/>
          <w:szCs w:val="22"/>
        </w:rPr>
        <w:t xml:space="preserve">rate </w:t>
      </w:r>
      <w:r w:rsidRPr="006A68E0">
        <w:rPr>
          <w:rFonts w:asciiTheme="minorHAnsi" w:eastAsia="新細明體" w:hAnsiTheme="minorHAnsi"/>
          <w:i/>
          <w:color w:val="000000" w:themeColor="text1"/>
          <w:sz w:val="22"/>
          <w:szCs w:val="22"/>
        </w:rPr>
        <w:t>per-UE should not be precluded.</w:t>
      </w:r>
      <w:bookmarkEnd w:id="7"/>
      <w:r w:rsidRPr="006A68E0">
        <w:rPr>
          <w:rFonts w:asciiTheme="minorHAnsi" w:eastAsia="新細明體" w:hAnsiTheme="minorHAnsi"/>
          <w:i/>
          <w:color w:val="000000" w:themeColor="text1"/>
          <w:sz w:val="22"/>
          <w:szCs w:val="22"/>
        </w:rPr>
        <w:t xml:space="preserve"> </w:t>
      </w:r>
    </w:p>
    <w:p w:rsidR="00EE42A9" w:rsidRDefault="00EE42A9" w:rsidP="00EE42A9"/>
    <w:p w:rsidR="00037FB6" w:rsidRPr="00037FB6" w:rsidRDefault="00037FB6" w:rsidP="00037FB6">
      <w:pPr>
        <w:pStyle w:val="a5"/>
        <w:jc w:val="both"/>
        <w:rPr>
          <w:rFonts w:cs="Arial"/>
          <w:i/>
          <w:u w:val="single"/>
        </w:rPr>
      </w:pPr>
      <w:r w:rsidRPr="00037FB6">
        <w:rPr>
          <w:rFonts w:cs="Arial"/>
          <w:i/>
          <w:u w:val="single"/>
        </w:rPr>
        <w:t xml:space="preserve">Q2: Do RAN1 and RAN4 agree with the suggested handling of UE categories described above? </w:t>
      </w:r>
    </w:p>
    <w:p w:rsidR="00037FB6" w:rsidRDefault="00037FB6" w:rsidP="00EE42A9">
      <w:r w:rsidRPr="00037FB6">
        <w:t>Discussion:</w:t>
      </w:r>
      <w:r>
        <w:t xml:space="preserve"> Based on the discussion in Q1, it is not agreeable to handle UE categories described above.</w:t>
      </w:r>
    </w:p>
    <w:p w:rsidR="00037FB6" w:rsidRDefault="00037FB6" w:rsidP="00EE42A9"/>
    <w:p w:rsidR="00037FB6" w:rsidRPr="00037FB6" w:rsidRDefault="00037FB6" w:rsidP="00037FB6">
      <w:pPr>
        <w:pStyle w:val="a5"/>
        <w:jc w:val="both"/>
        <w:rPr>
          <w:rFonts w:cs="Arial"/>
          <w:i/>
          <w:u w:val="single"/>
        </w:rPr>
      </w:pPr>
      <w:r w:rsidRPr="00037FB6">
        <w:rPr>
          <w:rFonts w:cs="Arial"/>
          <w:i/>
          <w:u w:val="single"/>
        </w:rPr>
        <w:t xml:space="preserve">Q3: How does RAN1 intend to define the UE category (if needed) in a numerology-agnostic manner? </w:t>
      </w:r>
    </w:p>
    <w:p w:rsidR="00217225" w:rsidRDefault="00037FB6" w:rsidP="00037FB6">
      <w:pPr>
        <w:pStyle w:val="a5"/>
        <w:ind w:left="993" w:hanging="993"/>
        <w:jc w:val="both"/>
        <w:rPr>
          <w:b w:val="0"/>
        </w:rPr>
      </w:pPr>
      <w:r w:rsidRPr="006A68E0">
        <w:rPr>
          <w:rFonts w:asciiTheme="minorHAnsi" w:eastAsiaTheme="minorEastAsia" w:hAnsiTheme="minorHAnsi" w:cstheme="minorBidi"/>
          <w:b w:val="0"/>
          <w:noProof w:val="0"/>
          <w:sz w:val="22"/>
          <w:szCs w:val="22"/>
          <w:lang w:eastAsia="zh-CN"/>
        </w:rPr>
        <w:t xml:space="preserve">Discussion: </w:t>
      </w:r>
      <w:r w:rsidR="00217225" w:rsidRPr="006A68E0">
        <w:rPr>
          <w:rFonts w:asciiTheme="minorHAnsi" w:eastAsiaTheme="minorEastAsia" w:hAnsiTheme="minorHAnsi" w:cstheme="minorBidi"/>
          <w:b w:val="0"/>
          <w:noProof w:val="0"/>
          <w:sz w:val="22"/>
          <w:szCs w:val="22"/>
          <w:lang w:eastAsia="zh-CN"/>
        </w:rPr>
        <w:t>In LTE, the UE category specifies the maximum number of DL-SCH transport block bits received within a TTI. In NR, the time duration of a TTI varies with SCS. For exa</w:t>
      </w:r>
      <w:r w:rsidR="00181A88">
        <w:rPr>
          <w:rFonts w:asciiTheme="minorHAnsi" w:eastAsiaTheme="minorEastAsia" w:hAnsiTheme="minorHAnsi" w:cstheme="minorBidi"/>
          <w:b w:val="0"/>
          <w:noProof w:val="0"/>
          <w:sz w:val="22"/>
          <w:szCs w:val="22"/>
          <w:lang w:eastAsia="zh-CN"/>
        </w:rPr>
        <w:t>m</w:t>
      </w:r>
      <w:r w:rsidR="00217225" w:rsidRPr="006A68E0">
        <w:rPr>
          <w:rFonts w:asciiTheme="minorHAnsi" w:eastAsiaTheme="minorEastAsia" w:hAnsiTheme="minorHAnsi" w:cstheme="minorBidi"/>
          <w:b w:val="0"/>
          <w:noProof w:val="0"/>
          <w:sz w:val="22"/>
          <w:szCs w:val="22"/>
          <w:lang w:eastAsia="zh-CN"/>
        </w:rPr>
        <w:t xml:space="preserve">ple, to support the same transport block bits in a TTI of 120KHz SCS requires 8 times faster processing speed than </w:t>
      </w:r>
      <w:r w:rsidR="00181A88">
        <w:rPr>
          <w:rFonts w:asciiTheme="minorHAnsi" w:eastAsiaTheme="minorEastAsia" w:hAnsiTheme="minorHAnsi" w:cstheme="minorBidi"/>
          <w:b w:val="0"/>
          <w:noProof w:val="0"/>
          <w:sz w:val="22"/>
          <w:szCs w:val="22"/>
          <w:lang w:eastAsia="zh-CN"/>
        </w:rPr>
        <w:t xml:space="preserve">that </w:t>
      </w:r>
      <w:r w:rsidR="00217225" w:rsidRPr="006A68E0">
        <w:rPr>
          <w:rFonts w:asciiTheme="minorHAnsi" w:eastAsiaTheme="minorEastAsia" w:hAnsiTheme="minorHAnsi" w:cstheme="minorBidi"/>
          <w:b w:val="0"/>
          <w:noProof w:val="0"/>
          <w:sz w:val="22"/>
          <w:szCs w:val="22"/>
          <w:lang w:eastAsia="zh-CN"/>
        </w:rPr>
        <w:t>in a TTI of 15KHz</w:t>
      </w:r>
      <w:r w:rsidR="001A0926">
        <w:rPr>
          <w:rFonts w:asciiTheme="minorHAnsi" w:eastAsiaTheme="minorEastAsia" w:hAnsiTheme="minorHAnsi" w:cstheme="minorBidi"/>
          <w:b w:val="0"/>
          <w:noProof w:val="0"/>
          <w:sz w:val="22"/>
          <w:szCs w:val="22"/>
          <w:lang w:eastAsia="zh-CN"/>
        </w:rPr>
        <w:t xml:space="preserve">, while 120KHz needs roughly 8 times lager total bandwidth than 15KHz to allocation the same number of PRBs. </w:t>
      </w:r>
      <w:r w:rsidR="00217225" w:rsidRPr="006A68E0">
        <w:rPr>
          <w:rFonts w:asciiTheme="minorHAnsi" w:eastAsiaTheme="minorEastAsia" w:hAnsiTheme="minorHAnsi" w:cstheme="minorBidi"/>
          <w:b w:val="0"/>
          <w:noProof w:val="0"/>
          <w:sz w:val="22"/>
          <w:szCs w:val="22"/>
          <w:lang w:eastAsia="zh-CN"/>
        </w:rPr>
        <w:t xml:space="preserve">Therefore, it is not desired to define UE category in a </w:t>
      </w:r>
      <w:r w:rsidR="00BF5D84" w:rsidRPr="006A68E0">
        <w:rPr>
          <w:rFonts w:asciiTheme="minorHAnsi" w:eastAsiaTheme="minorEastAsia" w:hAnsiTheme="minorHAnsi" w:cstheme="minorBidi"/>
          <w:b w:val="0"/>
          <w:noProof w:val="0"/>
          <w:sz w:val="22"/>
          <w:szCs w:val="22"/>
          <w:lang w:eastAsia="zh-CN"/>
        </w:rPr>
        <w:t xml:space="preserve">numerology-agnostic </w:t>
      </w:r>
      <w:r w:rsidR="00217225" w:rsidRPr="006A68E0">
        <w:rPr>
          <w:rFonts w:asciiTheme="minorHAnsi" w:eastAsiaTheme="minorEastAsia" w:hAnsiTheme="minorHAnsi" w:cstheme="minorBidi"/>
          <w:b w:val="0"/>
          <w:noProof w:val="0"/>
          <w:sz w:val="22"/>
          <w:szCs w:val="22"/>
          <w:lang w:eastAsia="zh-CN"/>
        </w:rPr>
        <w:t>way that agnostic to numerology.</w:t>
      </w:r>
    </w:p>
    <w:p w:rsidR="00217225" w:rsidRPr="006A68E0" w:rsidRDefault="00217225" w:rsidP="00217225">
      <w:pPr>
        <w:pStyle w:val="af2"/>
        <w:jc w:val="both"/>
        <w:rPr>
          <w:rFonts w:asciiTheme="minorHAnsi" w:eastAsia="新細明體" w:hAnsiTheme="minorHAnsi"/>
          <w:i/>
          <w:color w:val="000000" w:themeColor="text1"/>
          <w:sz w:val="22"/>
          <w:szCs w:val="22"/>
        </w:rPr>
      </w:pPr>
      <w:bookmarkStart w:id="8" w:name="_Ref492807520"/>
      <w:r w:rsidRPr="006A68E0">
        <w:rPr>
          <w:rFonts w:asciiTheme="minorHAnsi" w:eastAsia="新細明體" w:hAnsiTheme="minorHAnsi"/>
          <w:i/>
          <w:color w:val="000000" w:themeColor="text1"/>
          <w:sz w:val="22"/>
          <w:szCs w:val="22"/>
        </w:rPr>
        <w:t xml:space="preserve">Observation </w:t>
      </w:r>
      <w:r w:rsidR="008452E1" w:rsidRPr="006A68E0">
        <w:rPr>
          <w:rFonts w:asciiTheme="minorHAnsi" w:eastAsia="新細明體" w:hAnsiTheme="minorHAnsi"/>
          <w:i/>
          <w:color w:val="000000" w:themeColor="text1"/>
          <w:sz w:val="22"/>
          <w:szCs w:val="22"/>
        </w:rPr>
        <w:fldChar w:fldCharType="begin"/>
      </w:r>
      <w:r w:rsidR="008452E1" w:rsidRPr="006A68E0">
        <w:rPr>
          <w:rFonts w:asciiTheme="minorHAnsi" w:eastAsia="新細明體" w:hAnsiTheme="minorHAnsi"/>
          <w:i/>
          <w:color w:val="000000" w:themeColor="text1"/>
          <w:sz w:val="22"/>
          <w:szCs w:val="22"/>
        </w:rPr>
        <w:instrText xml:space="preserve"> SEQ Observation \* ARABIC </w:instrText>
      </w:r>
      <w:r w:rsidR="008452E1" w:rsidRPr="006A68E0">
        <w:rPr>
          <w:rFonts w:asciiTheme="minorHAnsi" w:eastAsia="新細明體" w:hAnsiTheme="minorHAnsi"/>
          <w:i/>
          <w:color w:val="000000" w:themeColor="text1"/>
          <w:sz w:val="22"/>
          <w:szCs w:val="22"/>
        </w:rPr>
        <w:fldChar w:fldCharType="separate"/>
      </w:r>
      <w:r w:rsidR="006A68E0">
        <w:rPr>
          <w:rFonts w:asciiTheme="minorHAnsi" w:eastAsia="新細明體" w:hAnsiTheme="minorHAnsi"/>
          <w:i/>
          <w:noProof/>
          <w:color w:val="000000" w:themeColor="text1"/>
          <w:sz w:val="22"/>
          <w:szCs w:val="22"/>
        </w:rPr>
        <w:t>4</w:t>
      </w:r>
      <w:r w:rsidR="008452E1" w:rsidRPr="006A68E0">
        <w:rPr>
          <w:rFonts w:asciiTheme="minorHAnsi" w:eastAsia="新細明體" w:hAnsiTheme="minorHAnsi"/>
          <w:i/>
          <w:color w:val="000000" w:themeColor="text1"/>
          <w:sz w:val="22"/>
          <w:szCs w:val="22"/>
        </w:rPr>
        <w:fldChar w:fldCharType="end"/>
      </w:r>
      <w:r w:rsidRPr="006A68E0">
        <w:rPr>
          <w:rFonts w:asciiTheme="minorHAnsi" w:eastAsia="新細明體" w:hAnsiTheme="minorHAnsi"/>
          <w:i/>
          <w:color w:val="000000" w:themeColor="text1"/>
          <w:sz w:val="22"/>
          <w:szCs w:val="22"/>
        </w:rPr>
        <w:t xml:space="preserve">: It is not desired to define UE category in a </w:t>
      </w:r>
      <w:r w:rsidR="00BF5D84" w:rsidRPr="006A68E0">
        <w:rPr>
          <w:rFonts w:asciiTheme="minorHAnsi" w:eastAsia="新細明體" w:hAnsiTheme="minorHAnsi"/>
          <w:i/>
          <w:color w:val="000000" w:themeColor="text1"/>
          <w:sz w:val="22"/>
          <w:szCs w:val="22"/>
        </w:rPr>
        <w:t xml:space="preserve">numerology-agnostic </w:t>
      </w:r>
      <w:r w:rsidRPr="006A68E0">
        <w:rPr>
          <w:rFonts w:asciiTheme="minorHAnsi" w:eastAsia="新細明體" w:hAnsiTheme="minorHAnsi"/>
          <w:i/>
          <w:color w:val="000000" w:themeColor="text1"/>
          <w:sz w:val="22"/>
          <w:szCs w:val="22"/>
        </w:rPr>
        <w:t>way that agnostic to numerology.</w:t>
      </w:r>
      <w:bookmarkEnd w:id="8"/>
      <w:r w:rsidRPr="006A68E0">
        <w:rPr>
          <w:rFonts w:asciiTheme="minorHAnsi" w:eastAsia="新細明體" w:hAnsiTheme="minorHAnsi"/>
          <w:i/>
          <w:color w:val="000000" w:themeColor="text1"/>
          <w:sz w:val="22"/>
          <w:szCs w:val="22"/>
        </w:rPr>
        <w:t xml:space="preserve"> </w:t>
      </w:r>
    </w:p>
    <w:p w:rsidR="00217225" w:rsidRDefault="00217225" w:rsidP="00037FB6">
      <w:pPr>
        <w:pStyle w:val="a5"/>
        <w:ind w:left="993" w:hanging="993"/>
        <w:jc w:val="both"/>
        <w:rPr>
          <w:b w:val="0"/>
        </w:rPr>
      </w:pPr>
    </w:p>
    <w:p w:rsidR="008269D9" w:rsidRPr="00C648BA" w:rsidRDefault="008258ED" w:rsidP="008269D9">
      <w:pPr>
        <w:pStyle w:val="1"/>
        <w:rPr>
          <w:rFonts w:asciiTheme="minorHAnsi" w:hAnsiTheme="minorHAnsi"/>
          <w:color w:val="000000" w:themeColor="text1"/>
        </w:rPr>
      </w:pPr>
      <w:r>
        <w:rPr>
          <w:rFonts w:asciiTheme="minorHAnsi" w:eastAsia="新細明體" w:hAnsiTheme="minorHAnsi"/>
          <w:color w:val="000000" w:themeColor="text1"/>
          <w:lang w:eastAsia="zh-TW"/>
        </w:rPr>
        <w:lastRenderedPageBreak/>
        <w:t>3</w:t>
      </w:r>
      <w:r w:rsidR="008269D9" w:rsidRPr="00C648BA">
        <w:rPr>
          <w:rFonts w:asciiTheme="minorHAnsi" w:hAnsiTheme="minorHAnsi"/>
          <w:color w:val="000000" w:themeColor="text1"/>
        </w:rPr>
        <w:tab/>
      </w:r>
      <w:r w:rsidR="008269D9" w:rsidRPr="00C648BA">
        <w:rPr>
          <w:rFonts w:asciiTheme="minorHAnsi" w:eastAsia="新細明體" w:hAnsiTheme="minorHAnsi"/>
          <w:color w:val="000000" w:themeColor="text1"/>
          <w:lang w:eastAsia="zh-TW"/>
        </w:rPr>
        <w:t>Summary</w:t>
      </w:r>
      <w:r w:rsidR="008269D9" w:rsidRPr="00C648BA">
        <w:rPr>
          <w:rFonts w:asciiTheme="minorHAnsi" w:hAnsiTheme="minorHAnsi"/>
          <w:color w:val="000000" w:themeColor="text1"/>
        </w:rPr>
        <w:t xml:space="preserve"> </w:t>
      </w:r>
    </w:p>
    <w:p w:rsidR="00FD1093" w:rsidRDefault="005E3842" w:rsidP="008258ED">
      <w:pPr>
        <w:jc w:val="both"/>
        <w:rPr>
          <w:color w:val="000000" w:themeColor="text1"/>
        </w:rPr>
      </w:pPr>
      <w:r w:rsidRPr="00C648BA">
        <w:rPr>
          <w:color w:val="000000" w:themeColor="text1"/>
        </w:rPr>
        <w:t xml:space="preserve">In this paper, </w:t>
      </w:r>
      <w:r w:rsidR="006A68E0">
        <w:rPr>
          <w:color w:val="000000" w:themeColor="text1"/>
        </w:rPr>
        <w:t xml:space="preserve">we provide our views on </w:t>
      </w:r>
      <w:r w:rsidR="006A68E0">
        <w:rPr>
          <w:color w:val="000000" w:themeColor="text1"/>
        </w:rPr>
        <w:t>questions in [1]. We have the following observations:</w:t>
      </w:r>
    </w:p>
    <w:bookmarkStart w:id="9" w:name="_GoBack"/>
    <w:p w:rsidR="006A68E0" w:rsidRPr="006A68E0" w:rsidRDefault="006A68E0" w:rsidP="008258ED">
      <w:pPr>
        <w:jc w:val="both"/>
        <w:rPr>
          <w:rFonts w:eastAsia="新細明體"/>
          <w:b/>
          <w:i/>
          <w:color w:val="000000" w:themeColor="text1"/>
        </w:rPr>
      </w:pPr>
      <w:r w:rsidRPr="006A68E0">
        <w:rPr>
          <w:rFonts w:eastAsia="新細明體"/>
          <w:b/>
          <w:i/>
          <w:color w:val="000000" w:themeColor="text1"/>
        </w:rPr>
        <w:fldChar w:fldCharType="begin"/>
      </w:r>
      <w:r w:rsidRPr="006A68E0">
        <w:rPr>
          <w:rFonts w:eastAsia="新細明體"/>
          <w:b/>
          <w:i/>
          <w:color w:val="000000" w:themeColor="text1"/>
        </w:rPr>
        <w:instrText xml:space="preserve"> REF _Ref492807516 \h </w:instrText>
      </w:r>
      <w:r w:rsidRPr="006A68E0">
        <w:rPr>
          <w:rFonts w:eastAsia="新細明體"/>
          <w:b/>
          <w:i/>
          <w:color w:val="000000" w:themeColor="text1"/>
        </w:rPr>
      </w:r>
      <w:r>
        <w:rPr>
          <w:rFonts w:eastAsia="新細明體"/>
          <w:b/>
          <w:i/>
          <w:color w:val="000000" w:themeColor="text1"/>
        </w:rPr>
        <w:instrText xml:space="preserve"> \* MERGEFORMAT </w:instrText>
      </w:r>
      <w:r w:rsidRPr="006A68E0">
        <w:rPr>
          <w:rFonts w:eastAsia="新細明體"/>
          <w:b/>
          <w:i/>
          <w:color w:val="000000" w:themeColor="text1"/>
        </w:rPr>
        <w:fldChar w:fldCharType="separate"/>
      </w:r>
      <w:r w:rsidR="00C956DD" w:rsidRPr="00C956DD">
        <w:rPr>
          <w:rFonts w:eastAsia="新細明體"/>
          <w:b/>
          <w:i/>
          <w:color w:val="000000" w:themeColor="text1"/>
        </w:rPr>
        <w:t>Observation 1: Information in bandwidth combination is insufficient to determine the maximum number of PRBs that UE can handle in individual band. Network needs at least some additional information such as the maximum supported bandwidth in that band and the SCS.</w:t>
      </w:r>
      <w:r w:rsidRPr="006A68E0">
        <w:rPr>
          <w:rFonts w:eastAsia="新細明體"/>
          <w:b/>
          <w:i/>
          <w:color w:val="000000" w:themeColor="text1"/>
        </w:rPr>
        <w:fldChar w:fldCharType="end"/>
      </w:r>
    </w:p>
    <w:p w:rsidR="006A68E0" w:rsidRPr="006A68E0" w:rsidRDefault="006A68E0" w:rsidP="008258ED">
      <w:pPr>
        <w:jc w:val="both"/>
        <w:rPr>
          <w:rFonts w:eastAsia="新細明體"/>
          <w:b/>
          <w:i/>
          <w:color w:val="000000" w:themeColor="text1"/>
        </w:rPr>
      </w:pPr>
      <w:r w:rsidRPr="006A68E0">
        <w:rPr>
          <w:rFonts w:eastAsia="新細明體"/>
          <w:b/>
          <w:i/>
          <w:color w:val="000000" w:themeColor="text1"/>
        </w:rPr>
        <w:fldChar w:fldCharType="begin"/>
      </w:r>
      <w:r w:rsidRPr="006A68E0">
        <w:rPr>
          <w:rFonts w:eastAsia="新細明體"/>
          <w:b/>
          <w:i/>
          <w:color w:val="000000" w:themeColor="text1"/>
        </w:rPr>
        <w:instrText xml:space="preserve"> REF _Ref492807517 \h </w:instrText>
      </w:r>
      <w:r w:rsidRPr="006A68E0">
        <w:rPr>
          <w:rFonts w:eastAsia="新細明體"/>
          <w:b/>
          <w:i/>
          <w:color w:val="000000" w:themeColor="text1"/>
        </w:rPr>
      </w:r>
      <w:r>
        <w:rPr>
          <w:rFonts w:eastAsia="新細明體"/>
          <w:b/>
          <w:i/>
          <w:color w:val="000000" w:themeColor="text1"/>
        </w:rPr>
        <w:instrText xml:space="preserve"> \* MERGEFORMAT </w:instrText>
      </w:r>
      <w:r w:rsidRPr="006A68E0">
        <w:rPr>
          <w:rFonts w:eastAsia="新細明體"/>
          <w:b/>
          <w:i/>
          <w:color w:val="000000" w:themeColor="text1"/>
        </w:rPr>
        <w:fldChar w:fldCharType="separate"/>
      </w:r>
      <w:r w:rsidR="00C956DD" w:rsidRPr="00C956DD">
        <w:rPr>
          <w:rFonts w:eastAsia="新細明體"/>
          <w:b/>
          <w:i/>
          <w:color w:val="000000" w:themeColor="text1"/>
        </w:rPr>
        <w:t>Observation 2: The information of maximum supported MIMO layer per band is also an important parameter for network to determine UE’s maximum data rate in a band.</w:t>
      </w:r>
      <w:r w:rsidRPr="006A68E0">
        <w:rPr>
          <w:rFonts w:eastAsia="新細明體"/>
          <w:b/>
          <w:i/>
          <w:color w:val="000000" w:themeColor="text1"/>
        </w:rPr>
        <w:fldChar w:fldCharType="end"/>
      </w:r>
    </w:p>
    <w:p w:rsidR="006A68E0" w:rsidRPr="006A68E0" w:rsidRDefault="006A68E0" w:rsidP="008258ED">
      <w:pPr>
        <w:jc w:val="both"/>
        <w:rPr>
          <w:rFonts w:eastAsia="新細明體"/>
          <w:b/>
          <w:i/>
          <w:color w:val="000000" w:themeColor="text1"/>
        </w:rPr>
      </w:pPr>
      <w:r w:rsidRPr="006A68E0">
        <w:rPr>
          <w:rFonts w:eastAsia="新細明體"/>
          <w:b/>
          <w:i/>
          <w:color w:val="000000" w:themeColor="text1"/>
        </w:rPr>
        <w:fldChar w:fldCharType="begin"/>
      </w:r>
      <w:r w:rsidRPr="006A68E0">
        <w:rPr>
          <w:rFonts w:eastAsia="新細明體"/>
          <w:b/>
          <w:i/>
          <w:color w:val="000000" w:themeColor="text1"/>
        </w:rPr>
        <w:instrText xml:space="preserve"> REF _Ref492807518 \h </w:instrText>
      </w:r>
      <w:r w:rsidRPr="006A68E0">
        <w:rPr>
          <w:rFonts w:eastAsia="新細明體"/>
          <w:b/>
          <w:i/>
          <w:color w:val="000000" w:themeColor="text1"/>
        </w:rPr>
      </w:r>
      <w:r>
        <w:rPr>
          <w:rFonts w:eastAsia="新細明體"/>
          <w:b/>
          <w:i/>
          <w:color w:val="000000" w:themeColor="text1"/>
        </w:rPr>
        <w:instrText xml:space="preserve"> \* MERGEFORMAT </w:instrText>
      </w:r>
      <w:r w:rsidRPr="006A68E0">
        <w:rPr>
          <w:rFonts w:eastAsia="新細明體"/>
          <w:b/>
          <w:i/>
          <w:color w:val="000000" w:themeColor="text1"/>
        </w:rPr>
        <w:fldChar w:fldCharType="separate"/>
      </w:r>
      <w:r w:rsidR="00C956DD" w:rsidRPr="00C956DD">
        <w:rPr>
          <w:rFonts w:eastAsia="新細明體"/>
          <w:b/>
          <w:i/>
          <w:color w:val="000000" w:themeColor="text1"/>
        </w:rPr>
        <w:t>Observation 3: The structure of baseband capability is not clear at this moment. Explicitly UE category with peak data rate per-UE should not be precluded.</w:t>
      </w:r>
      <w:r w:rsidRPr="006A68E0">
        <w:rPr>
          <w:rFonts w:eastAsia="新細明體"/>
          <w:b/>
          <w:i/>
          <w:color w:val="000000" w:themeColor="text1"/>
        </w:rPr>
        <w:fldChar w:fldCharType="end"/>
      </w:r>
    </w:p>
    <w:p w:rsidR="006A68E0" w:rsidRPr="006A68E0" w:rsidRDefault="006A68E0" w:rsidP="008258ED">
      <w:pPr>
        <w:jc w:val="both"/>
        <w:rPr>
          <w:rFonts w:eastAsia="新細明體"/>
          <w:b/>
          <w:i/>
          <w:color w:val="000000" w:themeColor="text1"/>
        </w:rPr>
      </w:pPr>
      <w:r w:rsidRPr="006A68E0">
        <w:rPr>
          <w:rFonts w:eastAsia="新細明體"/>
          <w:b/>
          <w:i/>
          <w:color w:val="000000" w:themeColor="text1"/>
        </w:rPr>
        <w:fldChar w:fldCharType="begin"/>
      </w:r>
      <w:r w:rsidRPr="006A68E0">
        <w:rPr>
          <w:rFonts w:eastAsia="新細明體"/>
          <w:b/>
          <w:i/>
          <w:color w:val="000000" w:themeColor="text1"/>
        </w:rPr>
        <w:instrText xml:space="preserve"> REF _Ref492807520 \h </w:instrText>
      </w:r>
      <w:r w:rsidRPr="006A68E0">
        <w:rPr>
          <w:rFonts w:eastAsia="新細明體"/>
          <w:b/>
          <w:i/>
          <w:color w:val="000000" w:themeColor="text1"/>
        </w:rPr>
      </w:r>
      <w:r>
        <w:rPr>
          <w:rFonts w:eastAsia="新細明體"/>
          <w:b/>
          <w:i/>
          <w:color w:val="000000" w:themeColor="text1"/>
        </w:rPr>
        <w:instrText xml:space="preserve"> \* MERGEFORMAT </w:instrText>
      </w:r>
      <w:r w:rsidRPr="006A68E0">
        <w:rPr>
          <w:rFonts w:eastAsia="新細明體"/>
          <w:b/>
          <w:i/>
          <w:color w:val="000000" w:themeColor="text1"/>
        </w:rPr>
        <w:fldChar w:fldCharType="separate"/>
      </w:r>
      <w:r w:rsidR="00C956DD" w:rsidRPr="00C956DD">
        <w:rPr>
          <w:rFonts w:eastAsia="新細明體"/>
          <w:b/>
          <w:i/>
          <w:color w:val="000000" w:themeColor="text1"/>
        </w:rPr>
        <w:t>Observation 4: It is not desired to define UE category in a numerology-agnostic way that agnostic to numerology.</w:t>
      </w:r>
      <w:r w:rsidRPr="006A68E0">
        <w:rPr>
          <w:rFonts w:eastAsia="新細明體"/>
          <w:b/>
          <w:i/>
          <w:color w:val="000000" w:themeColor="text1"/>
        </w:rPr>
        <w:fldChar w:fldCharType="end"/>
      </w:r>
    </w:p>
    <w:bookmarkEnd w:id="9"/>
    <w:p w:rsidR="00A106BA" w:rsidRPr="00C648BA" w:rsidRDefault="008258ED" w:rsidP="00A106BA">
      <w:pPr>
        <w:pStyle w:val="1"/>
        <w:rPr>
          <w:rFonts w:asciiTheme="minorHAnsi" w:hAnsiTheme="minorHAnsi"/>
          <w:color w:val="000000" w:themeColor="text1"/>
        </w:rPr>
      </w:pPr>
      <w:r>
        <w:rPr>
          <w:rFonts w:asciiTheme="minorHAnsi" w:eastAsia="新細明體" w:hAnsiTheme="minorHAnsi"/>
          <w:color w:val="000000" w:themeColor="text1"/>
          <w:lang w:eastAsia="zh-TW"/>
        </w:rPr>
        <w:t>4</w:t>
      </w:r>
      <w:r w:rsidR="00A106BA" w:rsidRPr="00C648BA">
        <w:rPr>
          <w:rFonts w:asciiTheme="minorHAnsi" w:hAnsiTheme="minorHAnsi"/>
          <w:color w:val="000000" w:themeColor="text1"/>
        </w:rPr>
        <w:tab/>
      </w:r>
      <w:r w:rsidR="00A106BA" w:rsidRPr="00C648BA">
        <w:rPr>
          <w:rFonts w:asciiTheme="minorHAnsi" w:eastAsia="新細明體" w:hAnsiTheme="minorHAnsi"/>
          <w:color w:val="000000" w:themeColor="text1"/>
          <w:lang w:eastAsia="zh-TW"/>
        </w:rPr>
        <w:t>Reference</w:t>
      </w:r>
      <w:r w:rsidR="00A106BA" w:rsidRPr="00C648BA">
        <w:rPr>
          <w:rFonts w:asciiTheme="minorHAnsi" w:hAnsiTheme="minorHAnsi"/>
          <w:color w:val="000000" w:themeColor="text1"/>
        </w:rPr>
        <w:t xml:space="preserve"> </w:t>
      </w:r>
    </w:p>
    <w:p w:rsidR="00077154" w:rsidRPr="00C648BA" w:rsidRDefault="00077154" w:rsidP="008258ED">
      <w:pPr>
        <w:rPr>
          <w:color w:val="000000" w:themeColor="text1"/>
        </w:rPr>
      </w:pPr>
      <w:r w:rsidRPr="00C648BA">
        <w:rPr>
          <w:color w:val="000000" w:themeColor="text1"/>
        </w:rPr>
        <w:t xml:space="preserve">[1] </w:t>
      </w:r>
      <w:r w:rsidR="008258ED" w:rsidRPr="008258ED">
        <w:rPr>
          <w:color w:val="000000" w:themeColor="text1"/>
        </w:rPr>
        <w:t>R2-1709979</w:t>
      </w:r>
      <w:r w:rsidR="008258ED">
        <w:rPr>
          <w:color w:val="000000" w:themeColor="text1"/>
        </w:rPr>
        <w:t>, “</w:t>
      </w:r>
      <w:r w:rsidR="008258ED" w:rsidRPr="008258ED">
        <w:rPr>
          <w:color w:val="000000" w:themeColor="text1"/>
        </w:rPr>
        <w:t>LS on UE categories and capabilities</w:t>
      </w:r>
      <w:r w:rsidR="008258ED">
        <w:rPr>
          <w:color w:val="000000" w:themeColor="text1"/>
        </w:rPr>
        <w:t>”, RAN2</w:t>
      </w:r>
    </w:p>
    <w:sectPr w:rsidR="00077154" w:rsidRPr="00C648BA"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A4E" w:rsidRDefault="00517A4E">
      <w:r>
        <w:separator/>
      </w:r>
    </w:p>
  </w:endnote>
  <w:endnote w:type="continuationSeparator" w:id="0">
    <w:p w:rsidR="00517A4E" w:rsidRDefault="00517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A4E" w:rsidRDefault="00517A4E">
      <w:r>
        <w:separator/>
      </w:r>
    </w:p>
  </w:footnote>
  <w:footnote w:type="continuationSeparator" w:id="0">
    <w:p w:rsidR="00517A4E" w:rsidRDefault="00517A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CA19D0"/>
    <w:multiLevelType w:val="hybridMultilevel"/>
    <w:tmpl w:val="D0141760"/>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9210D3"/>
    <w:multiLevelType w:val="hybridMultilevel"/>
    <w:tmpl w:val="02D4F714"/>
    <w:lvl w:ilvl="0" w:tplc="1F30C30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11116F1E"/>
    <w:multiLevelType w:val="hybridMultilevel"/>
    <w:tmpl w:val="FC7CAD1A"/>
    <w:lvl w:ilvl="0" w:tplc="95F2DF7A">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AA6304"/>
    <w:multiLevelType w:val="hybridMultilevel"/>
    <w:tmpl w:val="9CB2C794"/>
    <w:lvl w:ilvl="0" w:tplc="12E2B82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2" w15:restartNumberingAfterBreak="0">
    <w:nsid w:val="1B0716E4"/>
    <w:multiLevelType w:val="hybridMultilevel"/>
    <w:tmpl w:val="BD281A12"/>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72450"/>
    <w:multiLevelType w:val="hybridMultilevel"/>
    <w:tmpl w:val="65C4A7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39D6FA0"/>
    <w:multiLevelType w:val="hybridMultilevel"/>
    <w:tmpl w:val="429A64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1"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A84F7C"/>
    <w:multiLevelType w:val="hybridMultilevel"/>
    <w:tmpl w:val="33549E04"/>
    <w:lvl w:ilvl="0" w:tplc="04090001">
      <w:start w:val="1"/>
      <w:numFmt w:val="bullet"/>
      <w:lvlText w:val=""/>
      <w:lvlJc w:val="left"/>
      <w:pPr>
        <w:ind w:left="360" w:hanging="360"/>
      </w:pPr>
      <w:rPr>
        <w:rFonts w:ascii="Symbol" w:hAnsi="Symbol" w:hint="default"/>
      </w:rPr>
    </w:lvl>
    <w:lvl w:ilvl="1" w:tplc="9804778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41EC3651"/>
    <w:multiLevelType w:val="hybridMultilevel"/>
    <w:tmpl w:val="03984B8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7" w15:restartNumberingAfterBreak="0">
    <w:nsid w:val="448B5309"/>
    <w:multiLevelType w:val="hybridMultilevel"/>
    <w:tmpl w:val="BDBC55E8"/>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5522CEA"/>
    <w:multiLevelType w:val="hybridMultilevel"/>
    <w:tmpl w:val="C83A0B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86427"/>
    <w:multiLevelType w:val="hybridMultilevel"/>
    <w:tmpl w:val="D0A85AC4"/>
    <w:lvl w:ilvl="0" w:tplc="95F2DF7A">
      <w:start w:val="1"/>
      <w:numFmt w:val="decimal"/>
      <w:lvlText w:val="%1."/>
      <w:lvlJc w:val="left"/>
      <w:pPr>
        <w:ind w:left="1003" w:hanging="360"/>
      </w:pPr>
      <w:rPr>
        <w:rFont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1"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E607AC7"/>
    <w:multiLevelType w:val="hybridMultilevel"/>
    <w:tmpl w:val="353A502C"/>
    <w:lvl w:ilvl="0" w:tplc="04090003">
      <w:start w:val="1"/>
      <w:numFmt w:val="bullet"/>
      <w:lvlText w:val="o"/>
      <w:lvlJc w:val="left"/>
      <w:pPr>
        <w:ind w:left="420" w:hanging="420"/>
      </w:pPr>
      <w:rPr>
        <w:rFonts w:ascii="Courier New" w:hAnsi="Courier New" w:cs="Courier New" w:hint="default"/>
      </w:rPr>
    </w:lvl>
    <w:lvl w:ilvl="1" w:tplc="08090001">
      <w:start w:val="1"/>
      <w:numFmt w:val="bullet"/>
      <w:lvlText w:val=""/>
      <w:lvlJc w:val="left"/>
      <w:pPr>
        <w:ind w:left="840" w:hanging="420"/>
      </w:pPr>
      <w:rPr>
        <w:rFonts w:ascii="Symbol" w:hAnsi="Symbol" w:hint="default"/>
      </w:rPr>
    </w:lvl>
    <w:lvl w:ilvl="2" w:tplc="7F127B74">
      <w:start w:val="258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493767"/>
    <w:multiLevelType w:val="hybridMultilevel"/>
    <w:tmpl w:val="350A52B8"/>
    <w:lvl w:ilvl="0" w:tplc="7F127B74">
      <w:start w:val="2588"/>
      <w:numFmt w:val="bullet"/>
      <w:lvlText w:val="–"/>
      <w:lvlJc w:val="left"/>
      <w:pPr>
        <w:ind w:left="895" w:hanging="360"/>
      </w:pPr>
      <w:rPr>
        <w:rFonts w:ascii="Arial" w:hAnsi="Arial"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34"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35"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BB027D"/>
    <w:multiLevelType w:val="hybridMultilevel"/>
    <w:tmpl w:val="5D946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715A75"/>
    <w:multiLevelType w:val="hybridMultilevel"/>
    <w:tmpl w:val="F176F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8B4E3C"/>
    <w:multiLevelType w:val="hybridMultilevel"/>
    <w:tmpl w:val="070A5E10"/>
    <w:lvl w:ilvl="0" w:tplc="378A045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9"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2B4772"/>
    <w:multiLevelType w:val="hybridMultilevel"/>
    <w:tmpl w:val="E6722E7E"/>
    <w:lvl w:ilvl="0" w:tplc="75C4635A">
      <w:start w:val="1"/>
      <w:numFmt w:val="decimal"/>
      <w:lvlText w:val="%1)"/>
      <w:lvlJc w:val="left"/>
      <w:pPr>
        <w:ind w:left="1216" w:hanging="360"/>
      </w:pPr>
      <w:rPr>
        <w:rFonts w:hint="default"/>
      </w:rPr>
    </w:lvl>
    <w:lvl w:ilvl="1" w:tplc="04090019" w:tentative="1">
      <w:start w:val="1"/>
      <w:numFmt w:val="lowerLetter"/>
      <w:lvlText w:val="%2."/>
      <w:lvlJc w:val="left"/>
      <w:pPr>
        <w:ind w:left="1936" w:hanging="360"/>
      </w:pPr>
    </w:lvl>
    <w:lvl w:ilvl="2" w:tplc="0409001B" w:tentative="1">
      <w:start w:val="1"/>
      <w:numFmt w:val="lowerRoman"/>
      <w:lvlText w:val="%3."/>
      <w:lvlJc w:val="right"/>
      <w:pPr>
        <w:ind w:left="2656" w:hanging="180"/>
      </w:pPr>
    </w:lvl>
    <w:lvl w:ilvl="3" w:tplc="0409000F" w:tentative="1">
      <w:start w:val="1"/>
      <w:numFmt w:val="decimal"/>
      <w:lvlText w:val="%4."/>
      <w:lvlJc w:val="left"/>
      <w:pPr>
        <w:ind w:left="3376" w:hanging="360"/>
      </w:pPr>
    </w:lvl>
    <w:lvl w:ilvl="4" w:tplc="04090019" w:tentative="1">
      <w:start w:val="1"/>
      <w:numFmt w:val="lowerLetter"/>
      <w:lvlText w:val="%5."/>
      <w:lvlJc w:val="left"/>
      <w:pPr>
        <w:ind w:left="4096" w:hanging="360"/>
      </w:pPr>
    </w:lvl>
    <w:lvl w:ilvl="5" w:tplc="0409001B" w:tentative="1">
      <w:start w:val="1"/>
      <w:numFmt w:val="lowerRoman"/>
      <w:lvlText w:val="%6."/>
      <w:lvlJc w:val="right"/>
      <w:pPr>
        <w:ind w:left="4816" w:hanging="180"/>
      </w:pPr>
    </w:lvl>
    <w:lvl w:ilvl="6" w:tplc="0409000F" w:tentative="1">
      <w:start w:val="1"/>
      <w:numFmt w:val="decimal"/>
      <w:lvlText w:val="%7."/>
      <w:lvlJc w:val="left"/>
      <w:pPr>
        <w:ind w:left="5536" w:hanging="360"/>
      </w:pPr>
    </w:lvl>
    <w:lvl w:ilvl="7" w:tplc="04090019" w:tentative="1">
      <w:start w:val="1"/>
      <w:numFmt w:val="lowerLetter"/>
      <w:lvlText w:val="%8."/>
      <w:lvlJc w:val="left"/>
      <w:pPr>
        <w:ind w:left="6256" w:hanging="360"/>
      </w:pPr>
    </w:lvl>
    <w:lvl w:ilvl="8" w:tplc="0409001B" w:tentative="1">
      <w:start w:val="1"/>
      <w:numFmt w:val="lowerRoman"/>
      <w:lvlText w:val="%9."/>
      <w:lvlJc w:val="right"/>
      <w:pPr>
        <w:ind w:left="6976" w:hanging="180"/>
      </w:pPr>
    </w:lvl>
  </w:abstractNum>
  <w:abstractNum w:abstractNumId="41" w15:restartNumberingAfterBreak="0">
    <w:nsid w:val="6AFB6D9B"/>
    <w:multiLevelType w:val="hybridMultilevel"/>
    <w:tmpl w:val="413E506A"/>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2" w15:restartNumberingAfterBreak="0">
    <w:nsid w:val="6C4972C6"/>
    <w:multiLevelType w:val="hybridMultilevel"/>
    <w:tmpl w:val="52F86F28"/>
    <w:lvl w:ilvl="0" w:tplc="54CA31E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3"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79B31145"/>
    <w:multiLevelType w:val="hybridMultilevel"/>
    <w:tmpl w:val="D0A85AC4"/>
    <w:lvl w:ilvl="0" w:tplc="95F2DF7A">
      <w:start w:val="1"/>
      <w:numFmt w:val="decimal"/>
      <w:lvlText w:val="%1."/>
      <w:lvlJc w:val="left"/>
      <w:pPr>
        <w:ind w:left="1003" w:hanging="360"/>
      </w:pPr>
      <w:rPr>
        <w:rFont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47"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48" w15:restartNumberingAfterBreak="0">
    <w:nsid w:val="7EFF637F"/>
    <w:multiLevelType w:val="hybridMultilevel"/>
    <w:tmpl w:val="A68E095E"/>
    <w:lvl w:ilvl="0" w:tplc="C9624DD0">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0"/>
  </w:num>
  <w:num w:numId="2">
    <w:abstractNumId w:val="44"/>
  </w:num>
  <w:num w:numId="3">
    <w:abstractNumId w:val="22"/>
  </w:num>
  <w:num w:numId="4">
    <w:abstractNumId w:val="18"/>
  </w:num>
  <w:num w:numId="5">
    <w:abstractNumId w:val="43"/>
  </w:num>
  <w:num w:numId="6">
    <w:abstractNumId w:val="35"/>
  </w:num>
  <w:num w:numId="7">
    <w:abstractNumId w:val="47"/>
  </w:num>
  <w:num w:numId="8">
    <w:abstractNumId w:val="17"/>
  </w:num>
  <w:num w:numId="9">
    <w:abstractNumId w:val="25"/>
  </w:num>
  <w:num w:numId="10">
    <w:abstractNumId w:val="20"/>
  </w:num>
  <w:num w:numId="11">
    <w:abstractNumId w:val="45"/>
  </w:num>
  <w:num w:numId="12">
    <w:abstractNumId w:val="14"/>
  </w:num>
  <w:num w:numId="13">
    <w:abstractNumId w:val="7"/>
  </w:num>
  <w:num w:numId="14">
    <w:abstractNumId w:val="24"/>
  </w:num>
  <w:num w:numId="15">
    <w:abstractNumId w:val="39"/>
  </w:num>
  <w:num w:numId="16">
    <w:abstractNumId w:val="29"/>
  </w:num>
  <w:num w:numId="17">
    <w:abstractNumId w:val="34"/>
  </w:num>
  <w:num w:numId="18">
    <w:abstractNumId w:val="4"/>
  </w:num>
  <w:num w:numId="19">
    <w:abstractNumId w:val="2"/>
  </w:num>
  <w:num w:numId="20">
    <w:abstractNumId w:val="9"/>
  </w:num>
  <w:num w:numId="21">
    <w:abstractNumId w:val="19"/>
  </w:num>
  <w:num w:numId="22">
    <w:abstractNumId w:val="26"/>
  </w:num>
  <w:num w:numId="23">
    <w:abstractNumId w:val="41"/>
  </w:num>
  <w:num w:numId="24">
    <w:abstractNumId w:val="8"/>
  </w:num>
  <w:num w:numId="25">
    <w:abstractNumId w:val="30"/>
  </w:num>
  <w:num w:numId="26">
    <w:abstractNumId w:val="32"/>
  </w:num>
  <w:num w:numId="27">
    <w:abstractNumId w:val="15"/>
  </w:num>
  <w:num w:numId="28">
    <w:abstractNumId w:val="37"/>
  </w:num>
  <w:num w:numId="29">
    <w:abstractNumId w:val="10"/>
  </w:num>
  <w:num w:numId="30">
    <w:abstractNumId w:val="46"/>
  </w:num>
  <w:num w:numId="31">
    <w:abstractNumId w:val="21"/>
  </w:num>
  <w:num w:numId="32">
    <w:abstractNumId w:val="23"/>
  </w:num>
  <w:num w:numId="33">
    <w:abstractNumId w:val="13"/>
  </w:num>
  <w:num w:numId="34">
    <w:abstractNumId w:val="11"/>
  </w:num>
  <w:num w:numId="35">
    <w:abstractNumId w:val="48"/>
  </w:num>
  <w:num w:numId="36">
    <w:abstractNumId w:val="38"/>
  </w:num>
  <w:num w:numId="37">
    <w:abstractNumId w:val="6"/>
  </w:num>
  <w:num w:numId="38">
    <w:abstractNumId w:val="42"/>
  </w:num>
  <w:num w:numId="39">
    <w:abstractNumId w:val="40"/>
  </w:num>
  <w:num w:numId="40">
    <w:abstractNumId w:val="12"/>
  </w:num>
  <w:num w:numId="41">
    <w:abstractNumId w:val="28"/>
  </w:num>
  <w:num w:numId="42">
    <w:abstractNumId w:val="3"/>
  </w:num>
  <w:num w:numId="43">
    <w:abstractNumId w:val="31"/>
  </w:num>
  <w:num w:numId="44">
    <w:abstractNumId w:val="16"/>
  </w:num>
  <w:num w:numId="45">
    <w:abstractNumId w:val="36"/>
  </w:num>
  <w:num w:numId="46">
    <w:abstractNumId w:val="27"/>
  </w:num>
  <w:num w:numId="47">
    <w:abstractNumId w:val="27"/>
  </w:num>
  <w:num w:numId="48">
    <w:abstractNumId w:val="5"/>
  </w:num>
  <w:num w:numId="49">
    <w:abstractNumId w:val="33"/>
  </w:num>
  <w:num w:numId="5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3E95"/>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6DE0"/>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0B2"/>
    <w:rsid w:val="0003691C"/>
    <w:rsid w:val="000375D5"/>
    <w:rsid w:val="00037D22"/>
    <w:rsid w:val="00037FB6"/>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154"/>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53D"/>
    <w:rsid w:val="0008696C"/>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47D3"/>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E8E"/>
    <w:rsid w:val="000B30D2"/>
    <w:rsid w:val="000B423B"/>
    <w:rsid w:val="000B437A"/>
    <w:rsid w:val="000B4B68"/>
    <w:rsid w:val="000B4D35"/>
    <w:rsid w:val="000B5383"/>
    <w:rsid w:val="000B616A"/>
    <w:rsid w:val="000B666B"/>
    <w:rsid w:val="000B68AB"/>
    <w:rsid w:val="000B70FC"/>
    <w:rsid w:val="000B7727"/>
    <w:rsid w:val="000B7969"/>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3677"/>
    <w:rsid w:val="00103990"/>
    <w:rsid w:val="00103D09"/>
    <w:rsid w:val="001042E4"/>
    <w:rsid w:val="00104476"/>
    <w:rsid w:val="00104F3B"/>
    <w:rsid w:val="00105A55"/>
    <w:rsid w:val="00105D4D"/>
    <w:rsid w:val="00105DF5"/>
    <w:rsid w:val="00105FE2"/>
    <w:rsid w:val="0010602F"/>
    <w:rsid w:val="0010668E"/>
    <w:rsid w:val="00106AF9"/>
    <w:rsid w:val="00107ED5"/>
    <w:rsid w:val="001109D2"/>
    <w:rsid w:val="00110D2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932"/>
    <w:rsid w:val="00127A0A"/>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62F"/>
    <w:rsid w:val="001548DB"/>
    <w:rsid w:val="00155040"/>
    <w:rsid w:val="001553CD"/>
    <w:rsid w:val="001557B5"/>
    <w:rsid w:val="0015634A"/>
    <w:rsid w:val="00156435"/>
    <w:rsid w:val="0015643D"/>
    <w:rsid w:val="0015692F"/>
    <w:rsid w:val="001574B7"/>
    <w:rsid w:val="001607D6"/>
    <w:rsid w:val="00160D13"/>
    <w:rsid w:val="00160EF9"/>
    <w:rsid w:val="00161634"/>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639"/>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1A88"/>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26"/>
    <w:rsid w:val="001A1035"/>
    <w:rsid w:val="001A14E6"/>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6AB"/>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5B8"/>
    <w:rsid w:val="001C5DF9"/>
    <w:rsid w:val="001C5E7D"/>
    <w:rsid w:val="001C5FCE"/>
    <w:rsid w:val="001C60A5"/>
    <w:rsid w:val="001C66CC"/>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7CA"/>
    <w:rsid w:val="001F7D88"/>
    <w:rsid w:val="002007A6"/>
    <w:rsid w:val="0020110B"/>
    <w:rsid w:val="00201647"/>
    <w:rsid w:val="0020187A"/>
    <w:rsid w:val="00201987"/>
    <w:rsid w:val="002025A9"/>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78E"/>
    <w:rsid w:val="002168B5"/>
    <w:rsid w:val="0021722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64"/>
    <w:rsid w:val="00257680"/>
    <w:rsid w:val="0025784E"/>
    <w:rsid w:val="00257968"/>
    <w:rsid w:val="00260554"/>
    <w:rsid w:val="002613D8"/>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72A"/>
    <w:rsid w:val="00280AE3"/>
    <w:rsid w:val="00280E31"/>
    <w:rsid w:val="002827C1"/>
    <w:rsid w:val="00282EB8"/>
    <w:rsid w:val="00284A5C"/>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67E"/>
    <w:rsid w:val="002929BA"/>
    <w:rsid w:val="00292B5F"/>
    <w:rsid w:val="00294260"/>
    <w:rsid w:val="00294393"/>
    <w:rsid w:val="00295AAA"/>
    <w:rsid w:val="00296D48"/>
    <w:rsid w:val="00297AEA"/>
    <w:rsid w:val="002A014F"/>
    <w:rsid w:val="002A03AD"/>
    <w:rsid w:val="002A045F"/>
    <w:rsid w:val="002A0618"/>
    <w:rsid w:val="002A118A"/>
    <w:rsid w:val="002A12B5"/>
    <w:rsid w:val="002A1A31"/>
    <w:rsid w:val="002A2345"/>
    <w:rsid w:val="002A23D9"/>
    <w:rsid w:val="002A2D8A"/>
    <w:rsid w:val="002A2DAE"/>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4AA9"/>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406"/>
    <w:rsid w:val="002E2F17"/>
    <w:rsid w:val="002E395D"/>
    <w:rsid w:val="002E3AAE"/>
    <w:rsid w:val="002E45D1"/>
    <w:rsid w:val="002E47B3"/>
    <w:rsid w:val="002E49EC"/>
    <w:rsid w:val="002E4BA8"/>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F3"/>
    <w:rsid w:val="00341D92"/>
    <w:rsid w:val="00343B3E"/>
    <w:rsid w:val="00343E00"/>
    <w:rsid w:val="00345033"/>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0D8A"/>
    <w:rsid w:val="00351073"/>
    <w:rsid w:val="003512C6"/>
    <w:rsid w:val="003521DB"/>
    <w:rsid w:val="00352611"/>
    <w:rsid w:val="00352D11"/>
    <w:rsid w:val="00352D21"/>
    <w:rsid w:val="003538EA"/>
    <w:rsid w:val="00353A43"/>
    <w:rsid w:val="00353C81"/>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DA"/>
    <w:rsid w:val="00365E36"/>
    <w:rsid w:val="00366752"/>
    <w:rsid w:val="00370628"/>
    <w:rsid w:val="00371D84"/>
    <w:rsid w:val="003721D6"/>
    <w:rsid w:val="003724EA"/>
    <w:rsid w:val="00372613"/>
    <w:rsid w:val="00372A54"/>
    <w:rsid w:val="00373515"/>
    <w:rsid w:val="0037389F"/>
    <w:rsid w:val="00373DDE"/>
    <w:rsid w:val="00373F2B"/>
    <w:rsid w:val="00374D14"/>
    <w:rsid w:val="003750B6"/>
    <w:rsid w:val="003761FE"/>
    <w:rsid w:val="003766EB"/>
    <w:rsid w:val="00376858"/>
    <w:rsid w:val="0037751C"/>
    <w:rsid w:val="00381461"/>
    <w:rsid w:val="00381581"/>
    <w:rsid w:val="00382782"/>
    <w:rsid w:val="00382BF6"/>
    <w:rsid w:val="003831D0"/>
    <w:rsid w:val="00383379"/>
    <w:rsid w:val="00384091"/>
    <w:rsid w:val="0038483B"/>
    <w:rsid w:val="0038485C"/>
    <w:rsid w:val="0038494D"/>
    <w:rsid w:val="00384C81"/>
    <w:rsid w:val="003850E6"/>
    <w:rsid w:val="00385E61"/>
    <w:rsid w:val="0038757A"/>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0FF"/>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41A"/>
    <w:rsid w:val="003C3788"/>
    <w:rsid w:val="003C3DF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B92"/>
    <w:rsid w:val="003E4F61"/>
    <w:rsid w:val="003E5C90"/>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5EFE"/>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FE0"/>
    <w:rsid w:val="0043475F"/>
    <w:rsid w:val="00434E55"/>
    <w:rsid w:val="004354F1"/>
    <w:rsid w:val="00435596"/>
    <w:rsid w:val="0043568A"/>
    <w:rsid w:val="0043571B"/>
    <w:rsid w:val="00437A67"/>
    <w:rsid w:val="00437B9C"/>
    <w:rsid w:val="00440467"/>
    <w:rsid w:val="00440604"/>
    <w:rsid w:val="00440650"/>
    <w:rsid w:val="0044270F"/>
    <w:rsid w:val="00442ADE"/>
    <w:rsid w:val="00443602"/>
    <w:rsid w:val="00443C7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3E23"/>
    <w:rsid w:val="0046410F"/>
    <w:rsid w:val="00464B36"/>
    <w:rsid w:val="00464C8F"/>
    <w:rsid w:val="00464E02"/>
    <w:rsid w:val="00465CF8"/>
    <w:rsid w:val="0046634E"/>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4E8E"/>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567"/>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BDA"/>
    <w:rsid w:val="004F7E2E"/>
    <w:rsid w:val="00500464"/>
    <w:rsid w:val="0050149D"/>
    <w:rsid w:val="00501D05"/>
    <w:rsid w:val="00501DA7"/>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4E"/>
    <w:rsid w:val="00517AED"/>
    <w:rsid w:val="005206FA"/>
    <w:rsid w:val="00520E12"/>
    <w:rsid w:val="005217C6"/>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46D"/>
    <w:rsid w:val="0053485E"/>
    <w:rsid w:val="00534E4C"/>
    <w:rsid w:val="0053541F"/>
    <w:rsid w:val="00535467"/>
    <w:rsid w:val="00535E21"/>
    <w:rsid w:val="00536C51"/>
    <w:rsid w:val="00536D20"/>
    <w:rsid w:val="005372B5"/>
    <w:rsid w:val="005372C0"/>
    <w:rsid w:val="00537437"/>
    <w:rsid w:val="0053758A"/>
    <w:rsid w:val="00537CBB"/>
    <w:rsid w:val="005418FC"/>
    <w:rsid w:val="00541B9B"/>
    <w:rsid w:val="00541E7A"/>
    <w:rsid w:val="00541FD4"/>
    <w:rsid w:val="005420AA"/>
    <w:rsid w:val="005424D2"/>
    <w:rsid w:val="005428F3"/>
    <w:rsid w:val="00542C3C"/>
    <w:rsid w:val="005431FA"/>
    <w:rsid w:val="00543601"/>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E08"/>
    <w:rsid w:val="005554FF"/>
    <w:rsid w:val="00555C78"/>
    <w:rsid w:val="005568F2"/>
    <w:rsid w:val="00556A4A"/>
    <w:rsid w:val="0055798B"/>
    <w:rsid w:val="005603B3"/>
    <w:rsid w:val="005603F1"/>
    <w:rsid w:val="00560F9E"/>
    <w:rsid w:val="00561270"/>
    <w:rsid w:val="00562153"/>
    <w:rsid w:val="00562EFA"/>
    <w:rsid w:val="00565EDF"/>
    <w:rsid w:val="00566F1E"/>
    <w:rsid w:val="00567AC3"/>
    <w:rsid w:val="00567E23"/>
    <w:rsid w:val="00570682"/>
    <w:rsid w:val="005717AE"/>
    <w:rsid w:val="00571F13"/>
    <w:rsid w:val="00572105"/>
    <w:rsid w:val="00572539"/>
    <w:rsid w:val="005728DB"/>
    <w:rsid w:val="00572A66"/>
    <w:rsid w:val="00573181"/>
    <w:rsid w:val="00573342"/>
    <w:rsid w:val="00573965"/>
    <w:rsid w:val="00573AE1"/>
    <w:rsid w:val="00574A4A"/>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08E"/>
    <w:rsid w:val="0059196B"/>
    <w:rsid w:val="00592244"/>
    <w:rsid w:val="00594731"/>
    <w:rsid w:val="00594732"/>
    <w:rsid w:val="00594823"/>
    <w:rsid w:val="00594B6C"/>
    <w:rsid w:val="00596464"/>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602"/>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E7B"/>
    <w:rsid w:val="005C2ECB"/>
    <w:rsid w:val="005C2F90"/>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24F9"/>
    <w:rsid w:val="005D2567"/>
    <w:rsid w:val="005D353F"/>
    <w:rsid w:val="005D36FD"/>
    <w:rsid w:val="005D3B3E"/>
    <w:rsid w:val="005D3C02"/>
    <w:rsid w:val="005D4010"/>
    <w:rsid w:val="005D47E4"/>
    <w:rsid w:val="005D5941"/>
    <w:rsid w:val="005D5B21"/>
    <w:rsid w:val="005D6AE3"/>
    <w:rsid w:val="005E05D2"/>
    <w:rsid w:val="005E1016"/>
    <w:rsid w:val="005E11E4"/>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DF"/>
    <w:rsid w:val="00622FF1"/>
    <w:rsid w:val="00624A51"/>
    <w:rsid w:val="00624A5F"/>
    <w:rsid w:val="00626065"/>
    <w:rsid w:val="006260BA"/>
    <w:rsid w:val="006266A4"/>
    <w:rsid w:val="00627240"/>
    <w:rsid w:val="00627DA2"/>
    <w:rsid w:val="00627F52"/>
    <w:rsid w:val="00630123"/>
    <w:rsid w:val="0063015D"/>
    <w:rsid w:val="006309BC"/>
    <w:rsid w:val="00630E63"/>
    <w:rsid w:val="00630E67"/>
    <w:rsid w:val="0063111E"/>
    <w:rsid w:val="006314B6"/>
    <w:rsid w:val="0063176B"/>
    <w:rsid w:val="00631C79"/>
    <w:rsid w:val="00631F4C"/>
    <w:rsid w:val="00632741"/>
    <w:rsid w:val="0063299C"/>
    <w:rsid w:val="00632AA5"/>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401AA"/>
    <w:rsid w:val="00640A28"/>
    <w:rsid w:val="006415D3"/>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519"/>
    <w:rsid w:val="00646C13"/>
    <w:rsid w:val="006473E6"/>
    <w:rsid w:val="00647992"/>
    <w:rsid w:val="00650597"/>
    <w:rsid w:val="0065065D"/>
    <w:rsid w:val="006509E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375"/>
    <w:rsid w:val="006625C1"/>
    <w:rsid w:val="006627F7"/>
    <w:rsid w:val="00662A41"/>
    <w:rsid w:val="00662C69"/>
    <w:rsid w:val="006632E7"/>
    <w:rsid w:val="006637F0"/>
    <w:rsid w:val="006648AD"/>
    <w:rsid w:val="006648C1"/>
    <w:rsid w:val="00664DAB"/>
    <w:rsid w:val="00664DD1"/>
    <w:rsid w:val="006657A4"/>
    <w:rsid w:val="0066655C"/>
    <w:rsid w:val="0066659D"/>
    <w:rsid w:val="006668EF"/>
    <w:rsid w:val="00666A08"/>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5C"/>
    <w:rsid w:val="00691CB4"/>
    <w:rsid w:val="0069228B"/>
    <w:rsid w:val="006927B7"/>
    <w:rsid w:val="00692DBA"/>
    <w:rsid w:val="006933CE"/>
    <w:rsid w:val="00693E7D"/>
    <w:rsid w:val="006959D2"/>
    <w:rsid w:val="00696159"/>
    <w:rsid w:val="00696FC4"/>
    <w:rsid w:val="00697470"/>
    <w:rsid w:val="006A10EC"/>
    <w:rsid w:val="006A11FB"/>
    <w:rsid w:val="006A2698"/>
    <w:rsid w:val="006A2B35"/>
    <w:rsid w:val="006A35C7"/>
    <w:rsid w:val="006A37EF"/>
    <w:rsid w:val="006A3EB1"/>
    <w:rsid w:val="006A3ECE"/>
    <w:rsid w:val="006A5123"/>
    <w:rsid w:val="006A5658"/>
    <w:rsid w:val="006A569B"/>
    <w:rsid w:val="006A653A"/>
    <w:rsid w:val="006A657A"/>
    <w:rsid w:val="006A68E0"/>
    <w:rsid w:val="006A733C"/>
    <w:rsid w:val="006A73E7"/>
    <w:rsid w:val="006A75B9"/>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89D"/>
    <w:rsid w:val="006B6260"/>
    <w:rsid w:val="006B71DD"/>
    <w:rsid w:val="006B7311"/>
    <w:rsid w:val="006C0BFB"/>
    <w:rsid w:val="006C1499"/>
    <w:rsid w:val="006C16ED"/>
    <w:rsid w:val="006C1EBB"/>
    <w:rsid w:val="006C3587"/>
    <w:rsid w:val="006C4A5D"/>
    <w:rsid w:val="006C4E65"/>
    <w:rsid w:val="006C5E8E"/>
    <w:rsid w:val="006C5F76"/>
    <w:rsid w:val="006C6247"/>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1128"/>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068"/>
    <w:rsid w:val="00726214"/>
    <w:rsid w:val="00726344"/>
    <w:rsid w:val="007279E0"/>
    <w:rsid w:val="00727C6D"/>
    <w:rsid w:val="007300B7"/>
    <w:rsid w:val="007302FB"/>
    <w:rsid w:val="00730C1A"/>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39"/>
    <w:rsid w:val="0076408F"/>
    <w:rsid w:val="00764A14"/>
    <w:rsid w:val="00764DD1"/>
    <w:rsid w:val="00765C79"/>
    <w:rsid w:val="00765D49"/>
    <w:rsid w:val="00766139"/>
    <w:rsid w:val="00770872"/>
    <w:rsid w:val="00770959"/>
    <w:rsid w:val="00770F5C"/>
    <w:rsid w:val="00771F4C"/>
    <w:rsid w:val="0077214D"/>
    <w:rsid w:val="007723DE"/>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A70"/>
    <w:rsid w:val="007A6AC8"/>
    <w:rsid w:val="007A6EF2"/>
    <w:rsid w:val="007A7A40"/>
    <w:rsid w:val="007B0089"/>
    <w:rsid w:val="007B06D2"/>
    <w:rsid w:val="007B0B74"/>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D5A"/>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51F"/>
    <w:rsid w:val="007F0715"/>
    <w:rsid w:val="007F08FD"/>
    <w:rsid w:val="007F1727"/>
    <w:rsid w:val="007F1C13"/>
    <w:rsid w:val="007F1CC4"/>
    <w:rsid w:val="007F1DF6"/>
    <w:rsid w:val="007F2BF5"/>
    <w:rsid w:val="007F34A0"/>
    <w:rsid w:val="007F4077"/>
    <w:rsid w:val="007F4237"/>
    <w:rsid w:val="007F4EA5"/>
    <w:rsid w:val="007F568D"/>
    <w:rsid w:val="007F6E69"/>
    <w:rsid w:val="007F6FA9"/>
    <w:rsid w:val="007F77A2"/>
    <w:rsid w:val="007F7852"/>
    <w:rsid w:val="007F7C61"/>
    <w:rsid w:val="007F7C71"/>
    <w:rsid w:val="008003F2"/>
    <w:rsid w:val="00800901"/>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2C9"/>
    <w:rsid w:val="00823661"/>
    <w:rsid w:val="0082375C"/>
    <w:rsid w:val="00824098"/>
    <w:rsid w:val="008244F2"/>
    <w:rsid w:val="008245A6"/>
    <w:rsid w:val="00824BFD"/>
    <w:rsid w:val="00824D9C"/>
    <w:rsid w:val="00825128"/>
    <w:rsid w:val="00825364"/>
    <w:rsid w:val="008258ED"/>
    <w:rsid w:val="00825BAE"/>
    <w:rsid w:val="00825C56"/>
    <w:rsid w:val="00825D81"/>
    <w:rsid w:val="00825E8C"/>
    <w:rsid w:val="00825F3E"/>
    <w:rsid w:val="00825FE2"/>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7011"/>
    <w:rsid w:val="008420F0"/>
    <w:rsid w:val="00842573"/>
    <w:rsid w:val="00842ADF"/>
    <w:rsid w:val="00842AEF"/>
    <w:rsid w:val="0084322F"/>
    <w:rsid w:val="008452B9"/>
    <w:rsid w:val="008452E1"/>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744"/>
    <w:rsid w:val="0086727B"/>
    <w:rsid w:val="00867D86"/>
    <w:rsid w:val="0087021E"/>
    <w:rsid w:val="00870726"/>
    <w:rsid w:val="00870D7D"/>
    <w:rsid w:val="008713C0"/>
    <w:rsid w:val="00871C8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A7EBA"/>
    <w:rsid w:val="008B042F"/>
    <w:rsid w:val="008B0A66"/>
    <w:rsid w:val="008B0DF8"/>
    <w:rsid w:val="008B1FB1"/>
    <w:rsid w:val="008B21F3"/>
    <w:rsid w:val="008B2555"/>
    <w:rsid w:val="008B2C9B"/>
    <w:rsid w:val="008B45E7"/>
    <w:rsid w:val="008B471E"/>
    <w:rsid w:val="008B497F"/>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6040"/>
    <w:rsid w:val="008D69F8"/>
    <w:rsid w:val="008D6CAD"/>
    <w:rsid w:val="008D7899"/>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3B8"/>
    <w:rsid w:val="008F6E6A"/>
    <w:rsid w:val="008F7E08"/>
    <w:rsid w:val="0090096D"/>
    <w:rsid w:val="009012C2"/>
    <w:rsid w:val="009016C9"/>
    <w:rsid w:val="009021E5"/>
    <w:rsid w:val="0090250B"/>
    <w:rsid w:val="009027E4"/>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3C3F"/>
    <w:rsid w:val="0094427A"/>
    <w:rsid w:val="009444CE"/>
    <w:rsid w:val="009456F6"/>
    <w:rsid w:val="00945F8A"/>
    <w:rsid w:val="0094683D"/>
    <w:rsid w:val="00946D8C"/>
    <w:rsid w:val="009472C4"/>
    <w:rsid w:val="00947472"/>
    <w:rsid w:val="009476A8"/>
    <w:rsid w:val="00947887"/>
    <w:rsid w:val="0095008B"/>
    <w:rsid w:val="00950A51"/>
    <w:rsid w:val="00952941"/>
    <w:rsid w:val="00953245"/>
    <w:rsid w:val="0095348D"/>
    <w:rsid w:val="00953C5A"/>
    <w:rsid w:val="00954518"/>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70D7A"/>
    <w:rsid w:val="00970E4C"/>
    <w:rsid w:val="009711DC"/>
    <w:rsid w:val="00971506"/>
    <w:rsid w:val="00972D70"/>
    <w:rsid w:val="00973587"/>
    <w:rsid w:val="00974DC5"/>
    <w:rsid w:val="00975E2A"/>
    <w:rsid w:val="00976735"/>
    <w:rsid w:val="00976909"/>
    <w:rsid w:val="009772DA"/>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EE"/>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F3C"/>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66E7"/>
    <w:rsid w:val="00A17410"/>
    <w:rsid w:val="00A2028F"/>
    <w:rsid w:val="00A20AEE"/>
    <w:rsid w:val="00A20C5A"/>
    <w:rsid w:val="00A20D44"/>
    <w:rsid w:val="00A215B2"/>
    <w:rsid w:val="00A2186C"/>
    <w:rsid w:val="00A21F22"/>
    <w:rsid w:val="00A2280E"/>
    <w:rsid w:val="00A22BAC"/>
    <w:rsid w:val="00A22CD3"/>
    <w:rsid w:val="00A22CF9"/>
    <w:rsid w:val="00A22FA0"/>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144"/>
    <w:rsid w:val="00A414BF"/>
    <w:rsid w:val="00A41801"/>
    <w:rsid w:val="00A41D90"/>
    <w:rsid w:val="00A41E93"/>
    <w:rsid w:val="00A41F08"/>
    <w:rsid w:val="00A423DD"/>
    <w:rsid w:val="00A42EA7"/>
    <w:rsid w:val="00A43929"/>
    <w:rsid w:val="00A449B1"/>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60C22"/>
    <w:rsid w:val="00A61001"/>
    <w:rsid w:val="00A6108F"/>
    <w:rsid w:val="00A61619"/>
    <w:rsid w:val="00A61CB8"/>
    <w:rsid w:val="00A61DAB"/>
    <w:rsid w:val="00A6384B"/>
    <w:rsid w:val="00A648E9"/>
    <w:rsid w:val="00A6507E"/>
    <w:rsid w:val="00A65239"/>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12F"/>
    <w:rsid w:val="00A74D9A"/>
    <w:rsid w:val="00A750AF"/>
    <w:rsid w:val="00A75457"/>
    <w:rsid w:val="00A75D5A"/>
    <w:rsid w:val="00A768E6"/>
    <w:rsid w:val="00A76A6A"/>
    <w:rsid w:val="00A76F87"/>
    <w:rsid w:val="00A770A6"/>
    <w:rsid w:val="00A77A01"/>
    <w:rsid w:val="00A77D34"/>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DE6"/>
    <w:rsid w:val="00A96AC1"/>
    <w:rsid w:val="00A96F98"/>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2F47"/>
    <w:rsid w:val="00AC341A"/>
    <w:rsid w:val="00AC3738"/>
    <w:rsid w:val="00AC385F"/>
    <w:rsid w:val="00AC4811"/>
    <w:rsid w:val="00AC4C1B"/>
    <w:rsid w:val="00AC4F71"/>
    <w:rsid w:val="00AC5065"/>
    <w:rsid w:val="00AC54E1"/>
    <w:rsid w:val="00AC589B"/>
    <w:rsid w:val="00AC58F3"/>
    <w:rsid w:val="00AC6F34"/>
    <w:rsid w:val="00AC70B0"/>
    <w:rsid w:val="00AC713E"/>
    <w:rsid w:val="00AC71A9"/>
    <w:rsid w:val="00AC7460"/>
    <w:rsid w:val="00AD0D40"/>
    <w:rsid w:val="00AD190A"/>
    <w:rsid w:val="00AD1B18"/>
    <w:rsid w:val="00AD2C97"/>
    <w:rsid w:val="00AD346E"/>
    <w:rsid w:val="00AD35ED"/>
    <w:rsid w:val="00AD3CAD"/>
    <w:rsid w:val="00AD4C0A"/>
    <w:rsid w:val="00AD4FBC"/>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E7D7B"/>
    <w:rsid w:val="00AF039E"/>
    <w:rsid w:val="00AF06F9"/>
    <w:rsid w:val="00AF1DB2"/>
    <w:rsid w:val="00AF2A56"/>
    <w:rsid w:val="00AF2ECD"/>
    <w:rsid w:val="00AF2FD9"/>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FB6"/>
    <w:rsid w:val="00B02B29"/>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3F9"/>
    <w:rsid w:val="00B706F0"/>
    <w:rsid w:val="00B70CA2"/>
    <w:rsid w:val="00B713A0"/>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6D6"/>
    <w:rsid w:val="00B91D76"/>
    <w:rsid w:val="00B91DA9"/>
    <w:rsid w:val="00B91F2D"/>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3C7"/>
    <w:rsid w:val="00BA2BBA"/>
    <w:rsid w:val="00BA546D"/>
    <w:rsid w:val="00BA6159"/>
    <w:rsid w:val="00BA70AC"/>
    <w:rsid w:val="00BA7311"/>
    <w:rsid w:val="00BA7D32"/>
    <w:rsid w:val="00BB045C"/>
    <w:rsid w:val="00BB04BD"/>
    <w:rsid w:val="00BB0D1E"/>
    <w:rsid w:val="00BB197E"/>
    <w:rsid w:val="00BB1B35"/>
    <w:rsid w:val="00BB2443"/>
    <w:rsid w:val="00BB3203"/>
    <w:rsid w:val="00BB3E2B"/>
    <w:rsid w:val="00BB43A0"/>
    <w:rsid w:val="00BB4CB5"/>
    <w:rsid w:val="00BB4EF3"/>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257"/>
    <w:rsid w:val="00BD3799"/>
    <w:rsid w:val="00BD48BD"/>
    <w:rsid w:val="00BD4AFC"/>
    <w:rsid w:val="00BD527F"/>
    <w:rsid w:val="00BD52F5"/>
    <w:rsid w:val="00BD5480"/>
    <w:rsid w:val="00BD5EA8"/>
    <w:rsid w:val="00BD61AD"/>
    <w:rsid w:val="00BD7409"/>
    <w:rsid w:val="00BD778C"/>
    <w:rsid w:val="00BD7CF5"/>
    <w:rsid w:val="00BE02B4"/>
    <w:rsid w:val="00BE0561"/>
    <w:rsid w:val="00BE14E1"/>
    <w:rsid w:val="00BE1B3B"/>
    <w:rsid w:val="00BE1C28"/>
    <w:rsid w:val="00BE2552"/>
    <w:rsid w:val="00BE25D2"/>
    <w:rsid w:val="00BE34FB"/>
    <w:rsid w:val="00BE38F0"/>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5D84"/>
    <w:rsid w:val="00BF5E77"/>
    <w:rsid w:val="00BF5EA7"/>
    <w:rsid w:val="00BF6409"/>
    <w:rsid w:val="00BF6780"/>
    <w:rsid w:val="00BF69B6"/>
    <w:rsid w:val="00BF69E9"/>
    <w:rsid w:val="00BF7545"/>
    <w:rsid w:val="00BF76EB"/>
    <w:rsid w:val="00C00F34"/>
    <w:rsid w:val="00C01AEA"/>
    <w:rsid w:val="00C01ED4"/>
    <w:rsid w:val="00C02B4D"/>
    <w:rsid w:val="00C02C17"/>
    <w:rsid w:val="00C03327"/>
    <w:rsid w:val="00C034CC"/>
    <w:rsid w:val="00C0417F"/>
    <w:rsid w:val="00C0426F"/>
    <w:rsid w:val="00C0438F"/>
    <w:rsid w:val="00C04AA2"/>
    <w:rsid w:val="00C05674"/>
    <w:rsid w:val="00C05EFD"/>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207"/>
    <w:rsid w:val="00C233EC"/>
    <w:rsid w:val="00C24246"/>
    <w:rsid w:val="00C2460B"/>
    <w:rsid w:val="00C2465B"/>
    <w:rsid w:val="00C249A8"/>
    <w:rsid w:val="00C249D2"/>
    <w:rsid w:val="00C24DAF"/>
    <w:rsid w:val="00C24DBB"/>
    <w:rsid w:val="00C2502B"/>
    <w:rsid w:val="00C25419"/>
    <w:rsid w:val="00C2559E"/>
    <w:rsid w:val="00C25BCF"/>
    <w:rsid w:val="00C26173"/>
    <w:rsid w:val="00C26D4D"/>
    <w:rsid w:val="00C26F77"/>
    <w:rsid w:val="00C270F5"/>
    <w:rsid w:val="00C2726D"/>
    <w:rsid w:val="00C273B2"/>
    <w:rsid w:val="00C27D92"/>
    <w:rsid w:val="00C27EC7"/>
    <w:rsid w:val="00C30041"/>
    <w:rsid w:val="00C31473"/>
    <w:rsid w:val="00C31B07"/>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767"/>
    <w:rsid w:val="00C452B1"/>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3392"/>
    <w:rsid w:val="00C640B3"/>
    <w:rsid w:val="00C648BA"/>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574"/>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6DD"/>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AED"/>
    <w:rsid w:val="00CD0A0B"/>
    <w:rsid w:val="00CD125D"/>
    <w:rsid w:val="00CD2062"/>
    <w:rsid w:val="00CD2AB1"/>
    <w:rsid w:val="00CD32F6"/>
    <w:rsid w:val="00CD3B1B"/>
    <w:rsid w:val="00CD3E75"/>
    <w:rsid w:val="00CD4966"/>
    <w:rsid w:val="00CD4BAB"/>
    <w:rsid w:val="00CD4FA8"/>
    <w:rsid w:val="00CD7E9F"/>
    <w:rsid w:val="00CE04BA"/>
    <w:rsid w:val="00CE0B54"/>
    <w:rsid w:val="00CE1233"/>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3E7"/>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3284"/>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4CD"/>
    <w:rsid w:val="00D305E3"/>
    <w:rsid w:val="00D30919"/>
    <w:rsid w:val="00D30E4E"/>
    <w:rsid w:val="00D30ED1"/>
    <w:rsid w:val="00D328FB"/>
    <w:rsid w:val="00D32FAC"/>
    <w:rsid w:val="00D33962"/>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C42"/>
    <w:rsid w:val="00D4502D"/>
    <w:rsid w:val="00D45313"/>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57AE"/>
    <w:rsid w:val="00D55F26"/>
    <w:rsid w:val="00D5693A"/>
    <w:rsid w:val="00D5720A"/>
    <w:rsid w:val="00D573E5"/>
    <w:rsid w:val="00D57814"/>
    <w:rsid w:val="00D60379"/>
    <w:rsid w:val="00D6207B"/>
    <w:rsid w:val="00D6259D"/>
    <w:rsid w:val="00D629FA"/>
    <w:rsid w:val="00D62A8B"/>
    <w:rsid w:val="00D63361"/>
    <w:rsid w:val="00D636E2"/>
    <w:rsid w:val="00D6370B"/>
    <w:rsid w:val="00D640CB"/>
    <w:rsid w:val="00D64D53"/>
    <w:rsid w:val="00D654D1"/>
    <w:rsid w:val="00D65F24"/>
    <w:rsid w:val="00D666F2"/>
    <w:rsid w:val="00D66AF9"/>
    <w:rsid w:val="00D707F4"/>
    <w:rsid w:val="00D715B5"/>
    <w:rsid w:val="00D717C6"/>
    <w:rsid w:val="00D71D4F"/>
    <w:rsid w:val="00D7230D"/>
    <w:rsid w:val="00D72A8F"/>
    <w:rsid w:val="00D72E93"/>
    <w:rsid w:val="00D73331"/>
    <w:rsid w:val="00D73733"/>
    <w:rsid w:val="00D737AC"/>
    <w:rsid w:val="00D743A6"/>
    <w:rsid w:val="00D74C9E"/>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32FA"/>
    <w:rsid w:val="00DA367A"/>
    <w:rsid w:val="00DA384B"/>
    <w:rsid w:val="00DA5158"/>
    <w:rsid w:val="00DA51FF"/>
    <w:rsid w:val="00DA53CE"/>
    <w:rsid w:val="00DA587A"/>
    <w:rsid w:val="00DA5D93"/>
    <w:rsid w:val="00DA5DCC"/>
    <w:rsid w:val="00DA6D4F"/>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381D"/>
    <w:rsid w:val="00DF4B44"/>
    <w:rsid w:val="00DF4C40"/>
    <w:rsid w:val="00DF5345"/>
    <w:rsid w:val="00DF636A"/>
    <w:rsid w:val="00DF6927"/>
    <w:rsid w:val="00DF7594"/>
    <w:rsid w:val="00E010E6"/>
    <w:rsid w:val="00E013DA"/>
    <w:rsid w:val="00E013EA"/>
    <w:rsid w:val="00E015AA"/>
    <w:rsid w:val="00E0198D"/>
    <w:rsid w:val="00E01B55"/>
    <w:rsid w:val="00E01BAC"/>
    <w:rsid w:val="00E026A2"/>
    <w:rsid w:val="00E031F6"/>
    <w:rsid w:val="00E03CAA"/>
    <w:rsid w:val="00E03E9F"/>
    <w:rsid w:val="00E04605"/>
    <w:rsid w:val="00E04A65"/>
    <w:rsid w:val="00E04F84"/>
    <w:rsid w:val="00E05151"/>
    <w:rsid w:val="00E052E0"/>
    <w:rsid w:val="00E0541F"/>
    <w:rsid w:val="00E0576C"/>
    <w:rsid w:val="00E05B75"/>
    <w:rsid w:val="00E05CA6"/>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205A6"/>
    <w:rsid w:val="00E21700"/>
    <w:rsid w:val="00E21BA1"/>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1B9F"/>
    <w:rsid w:val="00E41F93"/>
    <w:rsid w:val="00E425C5"/>
    <w:rsid w:val="00E4263F"/>
    <w:rsid w:val="00E426E1"/>
    <w:rsid w:val="00E42A16"/>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429"/>
    <w:rsid w:val="00E65A88"/>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23C3"/>
    <w:rsid w:val="00E93D8A"/>
    <w:rsid w:val="00E9412C"/>
    <w:rsid w:val="00E946A6"/>
    <w:rsid w:val="00E947AC"/>
    <w:rsid w:val="00E95565"/>
    <w:rsid w:val="00E957C2"/>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5584"/>
    <w:rsid w:val="00EC6046"/>
    <w:rsid w:val="00EC627F"/>
    <w:rsid w:val="00EC6ED8"/>
    <w:rsid w:val="00EC7074"/>
    <w:rsid w:val="00EC714D"/>
    <w:rsid w:val="00EC7262"/>
    <w:rsid w:val="00EC74A5"/>
    <w:rsid w:val="00EC7961"/>
    <w:rsid w:val="00ED07DD"/>
    <w:rsid w:val="00ED1BBB"/>
    <w:rsid w:val="00ED2052"/>
    <w:rsid w:val="00ED205B"/>
    <w:rsid w:val="00ED3121"/>
    <w:rsid w:val="00ED335E"/>
    <w:rsid w:val="00ED3557"/>
    <w:rsid w:val="00ED39EE"/>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42A9"/>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D28"/>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79F"/>
    <w:rsid w:val="00F2086F"/>
    <w:rsid w:val="00F210FC"/>
    <w:rsid w:val="00F2298E"/>
    <w:rsid w:val="00F22CE0"/>
    <w:rsid w:val="00F235EC"/>
    <w:rsid w:val="00F23DD7"/>
    <w:rsid w:val="00F23E3E"/>
    <w:rsid w:val="00F24038"/>
    <w:rsid w:val="00F24BF2"/>
    <w:rsid w:val="00F24E64"/>
    <w:rsid w:val="00F25EE1"/>
    <w:rsid w:val="00F26042"/>
    <w:rsid w:val="00F26C30"/>
    <w:rsid w:val="00F27387"/>
    <w:rsid w:val="00F30EC1"/>
    <w:rsid w:val="00F31043"/>
    <w:rsid w:val="00F318A4"/>
    <w:rsid w:val="00F319DA"/>
    <w:rsid w:val="00F31ED7"/>
    <w:rsid w:val="00F32741"/>
    <w:rsid w:val="00F32935"/>
    <w:rsid w:val="00F3317A"/>
    <w:rsid w:val="00F341A2"/>
    <w:rsid w:val="00F3469A"/>
    <w:rsid w:val="00F35344"/>
    <w:rsid w:val="00F35E15"/>
    <w:rsid w:val="00F36553"/>
    <w:rsid w:val="00F367B3"/>
    <w:rsid w:val="00F36CE6"/>
    <w:rsid w:val="00F377F4"/>
    <w:rsid w:val="00F42022"/>
    <w:rsid w:val="00F42083"/>
    <w:rsid w:val="00F43148"/>
    <w:rsid w:val="00F44085"/>
    <w:rsid w:val="00F44191"/>
    <w:rsid w:val="00F44613"/>
    <w:rsid w:val="00F44CCA"/>
    <w:rsid w:val="00F4537E"/>
    <w:rsid w:val="00F45BE2"/>
    <w:rsid w:val="00F466A4"/>
    <w:rsid w:val="00F4677D"/>
    <w:rsid w:val="00F467DA"/>
    <w:rsid w:val="00F47417"/>
    <w:rsid w:val="00F47B6D"/>
    <w:rsid w:val="00F501B4"/>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14"/>
    <w:rsid w:val="00F61491"/>
    <w:rsid w:val="00F66E7E"/>
    <w:rsid w:val="00F67391"/>
    <w:rsid w:val="00F7075E"/>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97B"/>
    <w:rsid w:val="00F82E26"/>
    <w:rsid w:val="00F83BCD"/>
    <w:rsid w:val="00F83E42"/>
    <w:rsid w:val="00F8449B"/>
    <w:rsid w:val="00F84626"/>
    <w:rsid w:val="00F8514B"/>
    <w:rsid w:val="00F85D7B"/>
    <w:rsid w:val="00F86403"/>
    <w:rsid w:val="00F864A4"/>
    <w:rsid w:val="00F86A45"/>
    <w:rsid w:val="00F87B44"/>
    <w:rsid w:val="00F87FEA"/>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9CE"/>
    <w:rsid w:val="00F97D19"/>
    <w:rsid w:val="00F97D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B1E"/>
    <w:rsid w:val="00FB4D13"/>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1093"/>
    <w:rsid w:val="00FD1CA2"/>
    <w:rsid w:val="00FD2560"/>
    <w:rsid w:val="00FD294C"/>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02"/>
    <w:rsid w:val="00FE16BC"/>
    <w:rsid w:val="00FE1D65"/>
    <w:rsid w:val="00FE2249"/>
    <w:rsid w:val="00FE23D7"/>
    <w:rsid w:val="00FE367B"/>
    <w:rsid w:val="00FE3DFD"/>
    <w:rsid w:val="00FE3E3E"/>
    <w:rsid w:val="00FE4A1E"/>
    <w:rsid w:val="00FE4DBB"/>
    <w:rsid w:val="00FE536D"/>
    <w:rsid w:val="00FE5AD3"/>
    <w:rsid w:val="00FE5B8E"/>
    <w:rsid w:val="00FE5FC3"/>
    <w:rsid w:val="00FE6BA8"/>
    <w:rsid w:val="00FE6E71"/>
    <w:rsid w:val="00FE71F6"/>
    <w:rsid w:val="00FE7444"/>
    <w:rsid w:val="00FE7850"/>
    <w:rsid w:val="00FF0842"/>
    <w:rsid w:val="00FF16F2"/>
    <w:rsid w:val="00FF1A3D"/>
    <w:rsid w:val="00FF230C"/>
    <w:rsid w:val="00FF24A1"/>
    <w:rsid w:val="00FF2A06"/>
    <w:rsid w:val="00FF2A12"/>
    <w:rsid w:val="00FF2C67"/>
    <w:rsid w:val="00FF2C94"/>
    <w:rsid w:val="00FF2F38"/>
    <w:rsid w:val="00FF3D60"/>
    <w:rsid w:val="00FF3E82"/>
    <w:rsid w:val="00FF507B"/>
    <w:rsid w:val="00FF5A2F"/>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010"/>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D401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D4010"/>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szCs w:val="24"/>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eastAsia="SimSun" w:hAnsi="Times New Roma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Cambria" w:eastAsia="新細明體" w:hAnsi="Cambria" w:cs="Times New Roman"/>
        <w:i/>
        <w:iCs/>
        <w:sz w:val="26"/>
      </w:rPr>
      <w:tblPr/>
      <w:tcPr>
        <w:tcBorders>
          <w:bottom w:val="single" w:sz="4" w:space="0" w:color="4472C4"/>
        </w:tcBorders>
        <w:shd w:val="clear" w:color="auto" w:fill="FFFFFF"/>
      </w:tcPr>
    </w:tblStylePr>
    <w:tblStylePr w:type="lastRow">
      <w:rPr>
        <w:rFonts w:ascii="Cambria" w:eastAsia="新細明體" w:hAnsi="Cambria" w:cs="Times New Roman"/>
        <w:i/>
        <w:iCs/>
        <w:sz w:val="26"/>
      </w:rPr>
      <w:tblPr/>
      <w:tcPr>
        <w:tcBorders>
          <w:top w:val="single" w:sz="4" w:space="0" w:color="4472C4"/>
        </w:tcBorders>
        <w:shd w:val="clear" w:color="auto" w:fill="FFFFFF"/>
      </w:tcPr>
    </w:tblStylePr>
    <w:tblStylePr w:type="firstCol">
      <w:pPr>
        <w:jc w:val="right"/>
      </w:pPr>
      <w:rPr>
        <w:rFonts w:ascii="Cambria" w:eastAsia="新細明體" w:hAnsi="Cambria" w:cs="Times New Roman"/>
        <w:i/>
        <w:iCs/>
        <w:sz w:val="26"/>
      </w:rPr>
      <w:tblPr/>
      <w:tcPr>
        <w:tcBorders>
          <w:right w:val="single" w:sz="4" w:space="0" w:color="4472C4"/>
        </w:tcBorders>
        <w:shd w:val="clear" w:color="auto" w:fill="FFFFFF"/>
      </w:tcPr>
    </w:tblStylePr>
    <w:tblStylePr w:type="lastCol">
      <w:rPr>
        <w:rFonts w:ascii="Cambria" w:eastAsia="新細明體" w:hAnsi="Cambri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5457770">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02950004">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37706204">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8677245">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C152C-D97F-4EB7-8F85-29E6D59B3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928</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2017-09-07T22:31:00Z</dcterms:created>
  <dcterms:modified xsi:type="dcterms:W3CDTF">2017-09-10T03:53:00Z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-946051619</vt:i4>
  </property>
  <property fmtid="{D5CDD505-2E9C-101B-9397-08002B2CF9AE}" pid="4" name="_ReviewingToolsShownOnce">
    <vt:lpwstr/>
  </property>
</Properties>
</file>